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A265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F1A7309">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4BBF802">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03.100.30</w:t>
            </w:r>
            <w:r>
              <w:rPr>
                <w:rFonts w:ascii="黑体" w:hAnsi="黑体" w:eastAsia="黑体"/>
                <w:sz w:val="21"/>
                <w:szCs w:val="21"/>
              </w:rPr>
              <w:fldChar w:fldCharType="end"/>
            </w:r>
            <w:bookmarkEnd w:id="0"/>
          </w:p>
        </w:tc>
      </w:tr>
      <w:tr w14:paraId="24EDD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C430411">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3E2090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11FFF837">
                  <w:pPr>
                    <w:pStyle w:val="5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31805FF4">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w:t>
            </w:r>
            <w:r>
              <w:rPr>
                <w:rFonts w:hint="eastAsia" w:ascii="黑体" w:hAnsi="黑体" w:eastAsia="黑体"/>
                <w:sz w:val="21"/>
                <w:szCs w:val="21"/>
              </w:rPr>
              <w:t xml:space="preserve"> 18</w:t>
            </w:r>
            <w:r>
              <w:rPr>
                <w:rFonts w:ascii="黑体" w:hAnsi="黑体" w:eastAsia="黑体"/>
                <w:sz w:val="21"/>
                <w:szCs w:val="21"/>
              </w:rPr>
              <w:fldChar w:fldCharType="end"/>
            </w:r>
            <w:bookmarkEnd w:id="2"/>
          </w:p>
        </w:tc>
      </w:tr>
    </w:tbl>
    <w:p w14:paraId="549FF1AB">
      <w:pPr>
        <w:pStyle w:val="53"/>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中</w:t>
      </w:r>
      <w:r>
        <w:rPr>
          <w:rFonts w:hint="eastAsia" w:ascii="黑体" w:eastAsia="黑体"/>
          <w:b w:val="0"/>
          <w:w w:val="100"/>
          <w:sz w:val="48"/>
        </w:rPr>
        <w:t>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7070E02">
      <w:pPr>
        <w:pStyle w:val="198"/>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CSTC</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2025</w:t>
      </w:r>
      <w:r>
        <w:fldChar w:fldCharType="end"/>
      </w:r>
      <w:bookmarkEnd w:id="7"/>
    </w:p>
    <w:p w14:paraId="04B110E3">
      <w:pPr>
        <w:pStyle w:val="199"/>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7E183BF">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1880177">
      <w:pPr>
        <w:pStyle w:val="53"/>
        <w:framePr w:w="9639" w:h="6976" w:hRule="exact" w:hSpace="0" w:vSpace="0" w:wrap="around" w:hAnchor="page" w:y="6408"/>
        <w:jc w:val="center"/>
        <w:rPr>
          <w:rFonts w:hint="eastAsia" w:ascii="黑体" w:hAnsi="黑体" w:eastAsia="黑体"/>
          <w:b w:val="0"/>
          <w:bCs w:val="0"/>
          <w:w w:val="100"/>
        </w:rPr>
      </w:pPr>
    </w:p>
    <w:p w14:paraId="19AD0C39">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兴隆咖啡师劳务品牌  种植类人员（采摘）能力评定规范</w:t>
      </w:r>
      <w:r>
        <w:fldChar w:fldCharType="end"/>
      </w:r>
      <w:bookmarkEnd w:id="9"/>
    </w:p>
    <w:p w14:paraId="1EBA9FF4">
      <w:pPr>
        <w:framePr w:w="9639" w:h="6974" w:hRule="exact" w:wrap="around" w:vAnchor="page" w:hAnchor="page" w:x="1419" w:y="6408" w:anchorLock="1"/>
        <w:ind w:left="-1418"/>
      </w:pPr>
    </w:p>
    <w:p w14:paraId="789724C9">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The labor service brand of Xinglong coffee baristas—Specification for planting personnel (picking) ability assessment</w:t>
      </w:r>
      <w:r>
        <w:rPr>
          <w:rFonts w:eastAsia="黑体"/>
          <w:szCs w:val="28"/>
        </w:rPr>
        <w:fldChar w:fldCharType="end"/>
      </w:r>
      <w:bookmarkEnd w:id="10"/>
    </w:p>
    <w:p w14:paraId="596B285B">
      <w:pPr>
        <w:framePr w:w="9639" w:h="6974" w:hRule="exact" w:wrap="around" w:vAnchor="page" w:hAnchor="page" w:x="1419" w:y="6408" w:anchorLock="1"/>
        <w:spacing w:line="760" w:lineRule="exact"/>
        <w:ind w:left="-1418"/>
      </w:pPr>
    </w:p>
    <w:p w14:paraId="7EF81647">
      <w:pPr>
        <w:pStyle w:val="128"/>
        <w:framePr w:w="9639" w:h="6974" w:hRule="exact" w:wrap="around" w:vAnchor="page" w:hAnchor="page" w:x="1419" w:y="6408" w:anchorLock="1"/>
        <w:textAlignment w:val="bottom"/>
        <w:rPr>
          <w:rFonts w:eastAsia="黑体"/>
          <w:szCs w:val="28"/>
        </w:rPr>
      </w:pPr>
    </w:p>
    <w:p w14:paraId="0E7B9F3A">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7982A3F">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39972E0">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0D8D9DD">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A2AA8A2">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1943548">
      <w:pPr>
        <w:pStyle w:val="154"/>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中</w:t>
      </w:r>
      <w:r>
        <w:rPr>
          <w:rFonts w:hint="eastAsia" w:hAnsi="黑体"/>
          <w:w w:val="100"/>
          <w:sz w:val="28"/>
        </w:rPr>
        <w:t>国热带作物学会</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2DCCCA3F">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477AA7B">
      <w:pPr>
        <w:pStyle w:val="94"/>
        <w:spacing w:after="360"/>
      </w:pPr>
      <w:bookmarkStart w:id="21" w:name="BookMark1"/>
      <w:bookmarkStart w:id="22" w:name="_Toc198559290"/>
      <w:r>
        <w:rPr>
          <w:rFonts w:hint="eastAsia"/>
          <w:spacing w:val="320"/>
        </w:rPr>
        <w:t>目</w:t>
      </w:r>
      <w:r>
        <w:rPr>
          <w:rFonts w:hint="eastAsia"/>
        </w:rPr>
        <w:t>次</w:t>
      </w:r>
    </w:p>
    <w:p w14:paraId="1DD3FCA0">
      <w:pPr>
        <w:pStyle w:val="20"/>
        <w:tabs>
          <w:tab w:val="right" w:leader="dot" w:pos="9344"/>
        </w:tabs>
        <w:rPr>
          <w:rFonts w:hint="eastAsia"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"_Toc200655815" </w:instrText>
      </w:r>
      <w:r>
        <w:fldChar w:fldCharType="separate"/>
      </w:r>
      <w:r>
        <w:rPr>
          <w:rStyle w:val="35"/>
          <w:rFonts w:hint="eastAsia"/>
          <w:spacing w:val="320"/>
        </w:rPr>
        <w:t>前</w:t>
      </w:r>
      <w:r>
        <w:rPr>
          <w:rStyle w:val="35"/>
          <w:rFonts w:hint="eastAsia"/>
        </w:rPr>
        <w:t>言</w:t>
      </w:r>
      <w:r>
        <w:tab/>
      </w:r>
      <w:r>
        <w:fldChar w:fldCharType="begin"/>
      </w:r>
      <w:r>
        <w:instrText xml:space="preserve"> PAGEREF _Toc200655815 \h </w:instrText>
      </w:r>
      <w:r>
        <w:fldChar w:fldCharType="separate"/>
      </w:r>
      <w:r>
        <w:t>III</w:t>
      </w:r>
      <w:r>
        <w:fldChar w:fldCharType="end"/>
      </w:r>
      <w:r>
        <w:fldChar w:fldCharType="end"/>
      </w:r>
    </w:p>
    <w:p w14:paraId="688F5057">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"_Toc200655816" </w:instrText>
      </w:r>
      <w:r>
        <w:fldChar w:fldCharType="separate"/>
      </w:r>
      <w:r>
        <w:rPr>
          <w:rStyle w:val="35"/>
          <w:rFonts w:hint="eastAsia"/>
          <w:spacing w:val="320"/>
        </w:rPr>
        <w:t>引</w:t>
      </w:r>
      <w:r>
        <w:rPr>
          <w:rStyle w:val="35"/>
          <w:rFonts w:hint="eastAsia"/>
        </w:rPr>
        <w:t>言</w:t>
      </w:r>
      <w:r>
        <w:tab/>
      </w:r>
      <w:r>
        <w:fldChar w:fldCharType="begin"/>
      </w:r>
      <w:r>
        <w:instrText xml:space="preserve"> PAGEREF _Toc200655816 \h </w:instrText>
      </w:r>
      <w:r>
        <w:fldChar w:fldCharType="separate"/>
      </w:r>
      <w:r>
        <w:t>IV</w:t>
      </w:r>
      <w:r>
        <w:fldChar w:fldCharType="end"/>
      </w:r>
      <w:r>
        <w:fldChar w:fldCharType="end"/>
      </w:r>
    </w:p>
    <w:p w14:paraId="5D0A035E">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"_Toc200655817" </w:instrText>
      </w:r>
      <w:r>
        <w:fldChar w:fldCharType="separate"/>
      </w:r>
      <w:r>
        <w:rPr>
          <w:rStyle w:val="35"/>
        </w:rPr>
        <w:t>1</w:t>
      </w:r>
      <w:r>
        <w:rPr>
          <w:rStyle w:val="35"/>
          <w:rFonts w:hint="eastAsia"/>
        </w:rPr>
        <w:t xml:space="preserve"> 范围</w:t>
      </w:r>
      <w:r>
        <w:tab/>
      </w:r>
      <w:r>
        <w:fldChar w:fldCharType="begin"/>
      </w:r>
      <w:r>
        <w:instrText xml:space="preserve"> PAGEREF _Toc200655817 \h </w:instrText>
      </w:r>
      <w:r>
        <w:fldChar w:fldCharType="separate"/>
      </w:r>
      <w:r>
        <w:t>1</w:t>
      </w:r>
      <w:r>
        <w:fldChar w:fldCharType="end"/>
      </w:r>
      <w:r>
        <w:fldChar w:fldCharType="end"/>
      </w:r>
    </w:p>
    <w:p w14:paraId="64300291">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"_Toc200655818" </w:instrText>
      </w:r>
      <w:r>
        <w:fldChar w:fldCharType="separate"/>
      </w:r>
      <w:r>
        <w:rPr>
          <w:rStyle w:val="35"/>
        </w:rPr>
        <w:t>2</w:t>
      </w:r>
      <w:r>
        <w:rPr>
          <w:rStyle w:val="35"/>
          <w:rFonts w:hint="eastAsia"/>
        </w:rPr>
        <w:t xml:space="preserve"> 规范性引用文件</w:t>
      </w:r>
      <w:r>
        <w:tab/>
      </w:r>
      <w:r>
        <w:fldChar w:fldCharType="begin"/>
      </w:r>
      <w:r>
        <w:instrText xml:space="preserve"> PAGEREF _Toc200655818 \h </w:instrText>
      </w:r>
      <w:r>
        <w:fldChar w:fldCharType="separate"/>
      </w:r>
      <w:r>
        <w:t>1</w:t>
      </w:r>
      <w:r>
        <w:fldChar w:fldCharType="end"/>
      </w:r>
      <w:r>
        <w:fldChar w:fldCharType="end"/>
      </w:r>
    </w:p>
    <w:p w14:paraId="20DF5137">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"_Toc200655819" </w:instrText>
      </w:r>
      <w:r>
        <w:fldChar w:fldCharType="separate"/>
      </w:r>
      <w:r>
        <w:rPr>
          <w:rStyle w:val="35"/>
        </w:rPr>
        <w:t>3</w:t>
      </w:r>
      <w:r>
        <w:rPr>
          <w:rStyle w:val="35"/>
          <w:rFonts w:hint="eastAsia"/>
        </w:rPr>
        <w:t xml:space="preserve"> 术语和定义</w:t>
      </w:r>
      <w:r>
        <w:tab/>
      </w:r>
      <w:r>
        <w:fldChar w:fldCharType="begin"/>
      </w:r>
      <w:r>
        <w:instrText xml:space="preserve"> PAGEREF _Toc200655819 \h </w:instrText>
      </w:r>
      <w:r>
        <w:fldChar w:fldCharType="separate"/>
      </w:r>
      <w:r>
        <w:t>1</w:t>
      </w:r>
      <w:r>
        <w:fldChar w:fldCharType="end"/>
      </w:r>
      <w:r>
        <w:fldChar w:fldCharType="end"/>
      </w:r>
    </w:p>
    <w:p w14:paraId="323B6AF8">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"_Toc200655827" </w:instrText>
      </w:r>
      <w:r>
        <w:fldChar w:fldCharType="separate"/>
      </w:r>
      <w:r>
        <w:rPr>
          <w:rStyle w:val="35"/>
        </w:rPr>
        <w:t>4</w:t>
      </w:r>
      <w:r>
        <w:rPr>
          <w:rStyle w:val="35"/>
          <w:rFonts w:hint="eastAsia"/>
        </w:rPr>
        <w:t xml:space="preserve"> 评定原则</w:t>
      </w:r>
      <w:r>
        <w:tab/>
      </w:r>
      <w:r>
        <w:fldChar w:fldCharType="begin"/>
      </w:r>
      <w:r>
        <w:instrText xml:space="preserve"> PAGEREF _Toc200655827 \h </w:instrText>
      </w:r>
      <w:r>
        <w:fldChar w:fldCharType="separate"/>
      </w:r>
      <w:r>
        <w:t>2</w:t>
      </w:r>
      <w:r>
        <w:fldChar w:fldCharType="end"/>
      </w:r>
      <w:r>
        <w:fldChar w:fldCharType="end"/>
      </w:r>
    </w:p>
    <w:p w14:paraId="2C838A94">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"_Toc200655828" </w:instrText>
      </w:r>
      <w:r>
        <w:fldChar w:fldCharType="separate"/>
      </w:r>
      <w:r>
        <w:rPr>
          <w:rStyle w:val="35"/>
        </w:rPr>
        <w:t>5</w:t>
      </w:r>
      <w:r>
        <w:rPr>
          <w:rStyle w:val="35"/>
          <w:rFonts w:hint="eastAsia"/>
        </w:rPr>
        <w:t xml:space="preserve"> 评定机构</w:t>
      </w:r>
      <w:r>
        <w:tab/>
      </w:r>
      <w:r>
        <w:fldChar w:fldCharType="begin"/>
      </w:r>
      <w:r>
        <w:instrText xml:space="preserve"> PAGEREF _Toc200655828 \h </w:instrText>
      </w:r>
      <w:r>
        <w:fldChar w:fldCharType="separate"/>
      </w:r>
      <w:r>
        <w:t>2</w:t>
      </w:r>
      <w:r>
        <w:fldChar w:fldCharType="end"/>
      </w:r>
      <w:r>
        <w:fldChar w:fldCharType="end"/>
      </w:r>
    </w:p>
    <w:p w14:paraId="4D682B7A">
      <w:pPr>
        <w:pStyle w:val="25"/>
        <w:rPr>
          <w:rFonts w:hint="eastAsia" w:asciiTheme="minorHAnsi" w:hAnsiTheme="minorHAnsi" w:eastAsiaTheme="minorEastAsia" w:cstheme="minorBidi"/>
          <w:szCs w:val="22"/>
        </w:rPr>
      </w:pPr>
      <w:r>
        <w:fldChar w:fldCharType="begin"/>
      </w:r>
      <w:r>
        <w:instrText xml:space="preserve"> HYPERLINK \l "_Toc200655829" </w:instrText>
      </w:r>
      <w:r>
        <w:fldChar w:fldCharType="separate"/>
      </w:r>
      <w:r>
        <w:rPr>
          <w:rStyle w:val="35"/>
          <w14:scene3d w14:prst="orthographicFront">
            <w14:lightRig w14:rig="threePt" w14:dir="t">
              <w14:rot w14:lat="0" w14:lon="0" w14:rev="0"/>
            </w14:lightRig>
          </w14:scene3d>
        </w:rPr>
        <w:t>5.1</w:t>
      </w:r>
      <w:r>
        <w:rPr>
          <w:rStyle w:val="35"/>
          <w:rFonts w:hint="eastAsia"/>
        </w:rPr>
        <w:t xml:space="preserve"> 资质要求</w:t>
      </w:r>
      <w:r>
        <w:tab/>
      </w:r>
      <w:r>
        <w:fldChar w:fldCharType="begin"/>
      </w:r>
      <w:r>
        <w:instrText xml:space="preserve"> PAGEREF _Toc200655829 \h </w:instrText>
      </w:r>
      <w:r>
        <w:fldChar w:fldCharType="separate"/>
      </w:r>
      <w:r>
        <w:t>2</w:t>
      </w:r>
      <w:r>
        <w:fldChar w:fldCharType="end"/>
      </w:r>
      <w:r>
        <w:fldChar w:fldCharType="end"/>
      </w:r>
    </w:p>
    <w:p w14:paraId="3058CDC0">
      <w:pPr>
        <w:pStyle w:val="25"/>
        <w:rPr>
          <w:rFonts w:hint="eastAsia" w:asciiTheme="minorHAnsi" w:hAnsiTheme="minorHAnsi" w:eastAsiaTheme="minorEastAsia" w:cstheme="minorBidi"/>
          <w:szCs w:val="22"/>
        </w:rPr>
      </w:pPr>
      <w:r>
        <w:fldChar w:fldCharType="begin"/>
      </w:r>
      <w:r>
        <w:instrText xml:space="preserve"> HYPERLINK \l "_Toc200655830" </w:instrText>
      </w:r>
      <w:r>
        <w:fldChar w:fldCharType="separate"/>
      </w:r>
      <w:r>
        <w:rPr>
          <w:rStyle w:val="35"/>
          <w14:scene3d w14:prst="orthographicFront">
            <w14:lightRig w14:rig="threePt" w14:dir="t">
              <w14:rot w14:lat="0" w14:lon="0" w14:rev="0"/>
            </w14:lightRig>
          </w14:scene3d>
        </w:rPr>
        <w:t>5.2</w:t>
      </w:r>
      <w:r>
        <w:rPr>
          <w:rStyle w:val="35"/>
          <w:rFonts w:hint="eastAsia"/>
        </w:rPr>
        <w:t xml:space="preserve"> 职责</w:t>
      </w:r>
      <w:r>
        <w:tab/>
      </w:r>
      <w:r>
        <w:fldChar w:fldCharType="begin"/>
      </w:r>
      <w:r>
        <w:instrText xml:space="preserve"> PAGEREF _Toc200655830 \h </w:instrText>
      </w:r>
      <w:r>
        <w:fldChar w:fldCharType="separate"/>
      </w:r>
      <w:r>
        <w:t>2</w:t>
      </w:r>
      <w:r>
        <w:fldChar w:fldCharType="end"/>
      </w:r>
      <w:r>
        <w:fldChar w:fldCharType="end"/>
      </w:r>
    </w:p>
    <w:p w14:paraId="59D9FDD7">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"_Toc200655831" </w:instrText>
      </w:r>
      <w:r>
        <w:fldChar w:fldCharType="separate"/>
      </w:r>
      <w:r>
        <w:rPr>
          <w:rStyle w:val="35"/>
        </w:rPr>
        <w:t>6</w:t>
      </w:r>
      <w:r>
        <w:rPr>
          <w:rStyle w:val="35"/>
          <w:rFonts w:hint="eastAsia"/>
        </w:rPr>
        <w:t xml:space="preserve"> 评定方法</w:t>
      </w:r>
      <w:r>
        <w:tab/>
      </w:r>
      <w:r>
        <w:fldChar w:fldCharType="begin"/>
      </w:r>
      <w:r>
        <w:instrText xml:space="preserve"> PAGEREF _Toc200655831 \h </w:instrText>
      </w:r>
      <w:r>
        <w:fldChar w:fldCharType="separate"/>
      </w:r>
      <w:r>
        <w:t>3</w:t>
      </w:r>
      <w:r>
        <w:fldChar w:fldCharType="end"/>
      </w:r>
      <w:r>
        <w:fldChar w:fldCharType="end"/>
      </w:r>
    </w:p>
    <w:p w14:paraId="1AEBF8B3">
      <w:pPr>
        <w:pStyle w:val="25"/>
        <w:rPr>
          <w:rFonts w:hint="eastAsia" w:asciiTheme="minorHAnsi" w:hAnsiTheme="minorHAnsi" w:eastAsiaTheme="minorEastAsia" w:cstheme="minorBidi"/>
          <w:szCs w:val="22"/>
        </w:rPr>
      </w:pPr>
      <w:r>
        <w:fldChar w:fldCharType="begin"/>
      </w:r>
      <w:r>
        <w:instrText xml:space="preserve"> HYPERLINK \l "_Toc200655832" </w:instrText>
      </w:r>
      <w:r>
        <w:fldChar w:fldCharType="separate"/>
      </w:r>
      <w:r>
        <w:rPr>
          <w:rStyle w:val="35"/>
          <w14:scene3d w14:prst="orthographicFront">
            <w14:lightRig w14:rig="threePt" w14:dir="t">
              <w14:rot w14:lat="0" w14:lon="0" w14:rev="0"/>
            </w14:lightRig>
          </w14:scene3d>
        </w:rPr>
        <w:t>6.1</w:t>
      </w:r>
      <w:r>
        <w:rPr>
          <w:rStyle w:val="35"/>
          <w:rFonts w:hint="eastAsia"/>
        </w:rPr>
        <w:t xml:space="preserve"> 理论考试</w:t>
      </w:r>
      <w:r>
        <w:tab/>
      </w:r>
      <w:r>
        <w:fldChar w:fldCharType="begin"/>
      </w:r>
      <w:r>
        <w:instrText xml:space="preserve"> PAGEREF _Toc200655832 \h </w:instrText>
      </w:r>
      <w:r>
        <w:fldChar w:fldCharType="separate"/>
      </w:r>
      <w:r>
        <w:t>3</w:t>
      </w:r>
      <w:r>
        <w:fldChar w:fldCharType="end"/>
      </w:r>
      <w:r>
        <w:fldChar w:fldCharType="end"/>
      </w:r>
    </w:p>
    <w:p w14:paraId="69B0AB77">
      <w:pPr>
        <w:pStyle w:val="25"/>
        <w:rPr>
          <w:rFonts w:hint="eastAsia" w:asciiTheme="minorHAnsi" w:hAnsiTheme="minorHAnsi" w:eastAsiaTheme="minorEastAsia" w:cstheme="minorBidi"/>
          <w:szCs w:val="22"/>
        </w:rPr>
      </w:pPr>
      <w:r>
        <w:fldChar w:fldCharType="begin"/>
      </w:r>
      <w:r>
        <w:instrText xml:space="preserve"> HYPERLINK \l "_Toc200655833" </w:instrText>
      </w:r>
      <w:r>
        <w:fldChar w:fldCharType="separate"/>
      </w:r>
      <w:r>
        <w:rPr>
          <w:rStyle w:val="35"/>
          <w14:scene3d w14:prst="orthographicFront">
            <w14:lightRig w14:rig="threePt" w14:dir="t">
              <w14:rot w14:lat="0" w14:lon="0" w14:rev="0"/>
            </w14:lightRig>
          </w14:scene3d>
        </w:rPr>
        <w:t>6.2</w:t>
      </w:r>
      <w:r>
        <w:rPr>
          <w:rStyle w:val="35"/>
          <w:rFonts w:hint="eastAsia"/>
        </w:rPr>
        <w:t xml:space="preserve"> 实操考核</w:t>
      </w:r>
      <w:r>
        <w:tab/>
      </w:r>
      <w:r>
        <w:fldChar w:fldCharType="begin"/>
      </w:r>
      <w:r>
        <w:instrText xml:space="preserve"> PAGEREF _Toc200655833 \h </w:instrText>
      </w:r>
      <w:r>
        <w:fldChar w:fldCharType="separate"/>
      </w:r>
      <w:r>
        <w:t>3</w:t>
      </w:r>
      <w:r>
        <w:fldChar w:fldCharType="end"/>
      </w:r>
      <w:r>
        <w:fldChar w:fldCharType="end"/>
      </w:r>
    </w:p>
    <w:p w14:paraId="39AED62A">
      <w:pPr>
        <w:pStyle w:val="25"/>
        <w:rPr>
          <w:rFonts w:hint="eastAsia" w:asciiTheme="minorHAnsi" w:hAnsiTheme="minorHAnsi" w:eastAsiaTheme="minorEastAsia" w:cstheme="minorBidi"/>
          <w:szCs w:val="22"/>
        </w:rPr>
      </w:pPr>
      <w:r>
        <w:fldChar w:fldCharType="begin"/>
      </w:r>
      <w:r>
        <w:instrText xml:space="preserve"> HYPERLINK \l "_Toc200655834" </w:instrText>
      </w:r>
      <w:r>
        <w:fldChar w:fldCharType="separate"/>
      </w:r>
      <w:r>
        <w:rPr>
          <w:rStyle w:val="35"/>
          <w14:scene3d w14:prst="orthographicFront">
            <w14:lightRig w14:rig="threePt" w14:dir="t">
              <w14:rot w14:lat="0" w14:lon="0" w14:rev="0"/>
            </w14:lightRig>
          </w14:scene3d>
        </w:rPr>
        <w:t>6.3</w:t>
      </w:r>
      <w:r>
        <w:rPr>
          <w:rStyle w:val="35"/>
          <w:rFonts w:hint="eastAsia"/>
        </w:rPr>
        <w:t xml:space="preserve"> 综合评定</w:t>
      </w:r>
      <w:r>
        <w:tab/>
      </w:r>
      <w:r>
        <w:fldChar w:fldCharType="begin"/>
      </w:r>
      <w:r>
        <w:instrText xml:space="preserve"> PAGEREF _Toc200655834 \h </w:instrText>
      </w:r>
      <w:r>
        <w:fldChar w:fldCharType="separate"/>
      </w:r>
      <w:r>
        <w:t>4</w:t>
      </w:r>
      <w:r>
        <w:fldChar w:fldCharType="end"/>
      </w:r>
      <w:r>
        <w:fldChar w:fldCharType="end"/>
      </w:r>
    </w:p>
    <w:p w14:paraId="035ACC3F">
      <w:pPr>
        <w:pStyle w:val="25"/>
        <w:rPr>
          <w:rFonts w:hint="eastAsia" w:asciiTheme="minorHAnsi" w:hAnsiTheme="minorHAnsi" w:eastAsiaTheme="minorEastAsia" w:cstheme="minorBidi"/>
          <w:szCs w:val="22"/>
        </w:rPr>
      </w:pPr>
      <w:r>
        <w:fldChar w:fldCharType="begin"/>
      </w:r>
      <w:r>
        <w:instrText xml:space="preserve"> HYPERLINK \l "_Toc200655835" </w:instrText>
      </w:r>
      <w:r>
        <w:fldChar w:fldCharType="separate"/>
      </w:r>
      <w:r>
        <w:rPr>
          <w:rStyle w:val="35"/>
          <w14:scene3d w14:prst="orthographicFront">
            <w14:lightRig w14:rig="threePt" w14:dir="t">
              <w14:rot w14:lat="0" w14:lon="0" w14:rev="0"/>
            </w14:lightRig>
          </w14:scene3d>
        </w:rPr>
        <w:t>6.4</w:t>
      </w:r>
      <w:r>
        <w:rPr>
          <w:rStyle w:val="35"/>
          <w:rFonts w:hint="eastAsia"/>
        </w:rPr>
        <w:t xml:space="preserve"> 评定周期</w:t>
      </w:r>
      <w:r>
        <w:tab/>
      </w:r>
      <w:r>
        <w:fldChar w:fldCharType="begin"/>
      </w:r>
      <w:r>
        <w:instrText xml:space="preserve"> PAGEREF _Toc200655835 \h </w:instrText>
      </w:r>
      <w:r>
        <w:fldChar w:fldCharType="separate"/>
      </w:r>
      <w:r>
        <w:t>4</w:t>
      </w:r>
      <w:r>
        <w:fldChar w:fldCharType="end"/>
      </w:r>
      <w:r>
        <w:fldChar w:fldCharType="end"/>
      </w:r>
    </w:p>
    <w:p w14:paraId="4D5A4F33">
      <w:pPr>
        <w:pStyle w:val="25"/>
        <w:rPr>
          <w:rFonts w:hint="eastAsia" w:asciiTheme="minorHAnsi" w:hAnsiTheme="minorHAnsi" w:eastAsiaTheme="minorEastAsia" w:cstheme="minorBidi"/>
          <w:szCs w:val="22"/>
        </w:rPr>
      </w:pPr>
      <w:r>
        <w:fldChar w:fldCharType="begin"/>
      </w:r>
      <w:r>
        <w:instrText xml:space="preserve"> HYPERLINK \l "_Toc200655836" </w:instrText>
      </w:r>
      <w:r>
        <w:fldChar w:fldCharType="separate"/>
      </w:r>
      <w:r>
        <w:rPr>
          <w:rStyle w:val="35"/>
          <w14:scene3d w14:prst="orthographicFront">
            <w14:lightRig w14:rig="threePt" w14:dir="t">
              <w14:rot w14:lat="0" w14:lon="0" w14:rev="0"/>
            </w14:lightRig>
          </w14:scene3d>
        </w:rPr>
        <w:t>6.5</w:t>
      </w:r>
      <w:r>
        <w:rPr>
          <w:rStyle w:val="35"/>
          <w:rFonts w:hint="eastAsia"/>
        </w:rPr>
        <w:t xml:space="preserve"> 评定监督</w:t>
      </w:r>
      <w:r>
        <w:tab/>
      </w:r>
      <w:r>
        <w:fldChar w:fldCharType="begin"/>
      </w:r>
      <w:r>
        <w:instrText xml:space="preserve"> PAGEREF _Toc200655836 \h </w:instrText>
      </w:r>
      <w:r>
        <w:fldChar w:fldCharType="separate"/>
      </w:r>
      <w:r>
        <w:t>4</w:t>
      </w:r>
      <w:r>
        <w:fldChar w:fldCharType="end"/>
      </w:r>
      <w:r>
        <w:fldChar w:fldCharType="end"/>
      </w:r>
    </w:p>
    <w:p w14:paraId="1C9D27DA">
      <w:pPr>
        <w:pStyle w:val="25"/>
        <w:rPr>
          <w:rFonts w:hint="eastAsia" w:asciiTheme="minorHAnsi" w:hAnsiTheme="minorHAnsi" w:eastAsiaTheme="minorEastAsia" w:cstheme="minorBidi"/>
          <w:szCs w:val="22"/>
        </w:rPr>
      </w:pPr>
      <w:r>
        <w:fldChar w:fldCharType="begin"/>
      </w:r>
      <w:r>
        <w:instrText xml:space="preserve"> HYPERLINK \l "_Toc200655837" </w:instrText>
      </w:r>
      <w:r>
        <w:fldChar w:fldCharType="separate"/>
      </w:r>
      <w:r>
        <w:rPr>
          <w:rStyle w:val="35"/>
          <w14:scene3d w14:prst="orthographicFront">
            <w14:lightRig w14:rig="threePt" w14:dir="t">
              <w14:rot w14:lat="0" w14:lon="0" w14:rev="0"/>
            </w14:lightRig>
          </w14:scene3d>
        </w:rPr>
        <w:t>6.6</w:t>
      </w:r>
      <w:r>
        <w:rPr>
          <w:rStyle w:val="35"/>
          <w:rFonts w:hint="eastAsia"/>
        </w:rPr>
        <w:t xml:space="preserve"> 评定记录</w:t>
      </w:r>
      <w:r>
        <w:tab/>
      </w:r>
      <w:r>
        <w:fldChar w:fldCharType="begin"/>
      </w:r>
      <w:r>
        <w:instrText xml:space="preserve"> PAGEREF _Toc200655837 \h </w:instrText>
      </w:r>
      <w:r>
        <w:fldChar w:fldCharType="separate"/>
      </w:r>
      <w:r>
        <w:t>4</w:t>
      </w:r>
      <w:r>
        <w:fldChar w:fldCharType="end"/>
      </w:r>
      <w:r>
        <w:fldChar w:fldCharType="end"/>
      </w:r>
    </w:p>
    <w:p w14:paraId="540EA53E">
      <w:pPr>
        <w:pStyle w:val="25"/>
        <w:rPr>
          <w:rFonts w:hint="eastAsia" w:asciiTheme="minorHAnsi" w:hAnsiTheme="minorHAnsi" w:eastAsiaTheme="minorEastAsia" w:cstheme="minorBidi"/>
          <w:szCs w:val="22"/>
        </w:rPr>
      </w:pPr>
      <w:r>
        <w:fldChar w:fldCharType="begin"/>
      </w:r>
      <w:r>
        <w:instrText xml:space="preserve"> HYPERLINK \l "_Toc200655838" </w:instrText>
      </w:r>
      <w:r>
        <w:fldChar w:fldCharType="separate"/>
      </w:r>
      <w:r>
        <w:rPr>
          <w:rStyle w:val="35"/>
          <w14:scene3d w14:prst="orthographicFront">
            <w14:lightRig w14:rig="threePt" w14:dir="t">
              <w14:rot w14:lat="0" w14:lon="0" w14:rev="0"/>
            </w14:lightRig>
          </w14:scene3d>
        </w:rPr>
        <w:t>6.7</w:t>
      </w:r>
      <w:r>
        <w:rPr>
          <w:rStyle w:val="35"/>
          <w:rFonts w:hint="eastAsia"/>
        </w:rPr>
        <w:t xml:space="preserve"> 评定证书</w:t>
      </w:r>
      <w:r>
        <w:tab/>
      </w:r>
      <w:r>
        <w:fldChar w:fldCharType="begin"/>
      </w:r>
      <w:r>
        <w:instrText xml:space="preserve"> PAGEREF _Toc200655838 \h </w:instrText>
      </w:r>
      <w:r>
        <w:fldChar w:fldCharType="separate"/>
      </w:r>
      <w:r>
        <w:t>4</w:t>
      </w:r>
      <w:r>
        <w:fldChar w:fldCharType="end"/>
      </w:r>
      <w:r>
        <w:fldChar w:fldCharType="end"/>
      </w:r>
    </w:p>
    <w:p w14:paraId="50E62D90">
      <w:pPr>
        <w:pStyle w:val="25"/>
        <w:rPr>
          <w:rFonts w:hint="eastAsia" w:asciiTheme="minorHAnsi" w:hAnsiTheme="minorHAnsi" w:eastAsiaTheme="minorEastAsia" w:cstheme="minorBidi"/>
          <w:szCs w:val="22"/>
        </w:rPr>
      </w:pPr>
      <w:r>
        <w:fldChar w:fldCharType="begin"/>
      </w:r>
      <w:r>
        <w:instrText xml:space="preserve"> HYPERLINK \l "_Toc200655839" </w:instrText>
      </w:r>
      <w:r>
        <w:fldChar w:fldCharType="separate"/>
      </w:r>
      <w:r>
        <w:rPr>
          <w:rStyle w:val="35"/>
          <w14:scene3d w14:prst="orthographicFront">
            <w14:lightRig w14:rig="threePt" w14:dir="t">
              <w14:rot w14:lat="0" w14:lon="0" w14:rev="0"/>
            </w14:lightRig>
          </w14:scene3d>
        </w:rPr>
        <w:t>6.8</w:t>
      </w:r>
      <w:r>
        <w:rPr>
          <w:rStyle w:val="35"/>
          <w:rFonts w:hint="eastAsia"/>
        </w:rPr>
        <w:t xml:space="preserve"> 评定费用</w:t>
      </w:r>
      <w:r>
        <w:tab/>
      </w:r>
      <w:r>
        <w:fldChar w:fldCharType="begin"/>
      </w:r>
      <w:r>
        <w:instrText xml:space="preserve"> PAGEREF _Toc200655839 \h </w:instrText>
      </w:r>
      <w:r>
        <w:fldChar w:fldCharType="separate"/>
      </w:r>
      <w:r>
        <w:t>4</w:t>
      </w:r>
      <w:r>
        <w:fldChar w:fldCharType="end"/>
      </w:r>
      <w:r>
        <w:fldChar w:fldCharType="end"/>
      </w:r>
    </w:p>
    <w:p w14:paraId="296ED8B0">
      <w:pPr>
        <w:pStyle w:val="25"/>
        <w:rPr>
          <w:rFonts w:hint="eastAsia" w:asciiTheme="minorHAnsi" w:hAnsiTheme="minorHAnsi" w:eastAsiaTheme="minorEastAsia" w:cstheme="minorBidi"/>
          <w:szCs w:val="22"/>
        </w:rPr>
      </w:pPr>
      <w:r>
        <w:fldChar w:fldCharType="begin"/>
      </w:r>
      <w:r>
        <w:instrText xml:space="preserve"> HYPERLINK \l "_Toc200655840" </w:instrText>
      </w:r>
      <w:r>
        <w:fldChar w:fldCharType="separate"/>
      </w:r>
      <w:r>
        <w:rPr>
          <w:rStyle w:val="35"/>
          <w14:scene3d w14:prst="orthographicFront">
            <w14:lightRig w14:rig="threePt" w14:dir="t">
              <w14:rot w14:lat="0" w14:lon="0" w14:rev="0"/>
            </w14:lightRig>
          </w14:scene3d>
        </w:rPr>
        <w:t>6.9</w:t>
      </w:r>
      <w:r>
        <w:rPr>
          <w:rStyle w:val="35"/>
          <w:rFonts w:hint="eastAsia"/>
        </w:rPr>
        <w:t xml:space="preserve"> 评定申诉</w:t>
      </w:r>
      <w:r>
        <w:tab/>
      </w:r>
      <w:r>
        <w:fldChar w:fldCharType="begin"/>
      </w:r>
      <w:r>
        <w:instrText xml:space="preserve"> PAGEREF _Toc200655840 \h </w:instrText>
      </w:r>
      <w:r>
        <w:fldChar w:fldCharType="separate"/>
      </w:r>
      <w:r>
        <w:t>4</w:t>
      </w:r>
      <w:r>
        <w:fldChar w:fldCharType="end"/>
      </w:r>
      <w:r>
        <w:fldChar w:fldCharType="end"/>
      </w:r>
    </w:p>
    <w:p w14:paraId="1C7B9694">
      <w:pPr>
        <w:pStyle w:val="25"/>
        <w:rPr>
          <w:rFonts w:hint="eastAsia" w:asciiTheme="minorHAnsi" w:hAnsiTheme="minorHAnsi" w:eastAsiaTheme="minorEastAsia" w:cstheme="minorBidi"/>
          <w:szCs w:val="22"/>
        </w:rPr>
      </w:pPr>
      <w:r>
        <w:fldChar w:fldCharType="begin"/>
      </w:r>
      <w:r>
        <w:instrText xml:space="preserve"> HYPERLINK \l "_Toc200655841" </w:instrText>
      </w:r>
      <w:r>
        <w:fldChar w:fldCharType="separate"/>
      </w:r>
      <w:r>
        <w:rPr>
          <w:rStyle w:val="35"/>
          <w14:scene3d w14:prst="orthographicFront">
            <w14:lightRig w14:rig="threePt" w14:dir="t">
              <w14:rot w14:lat="0" w14:lon="0" w14:rev="0"/>
            </w14:lightRig>
          </w14:scene3d>
        </w:rPr>
        <w:t>6.10</w:t>
      </w:r>
      <w:r>
        <w:rPr>
          <w:rStyle w:val="35"/>
          <w:rFonts w:hint="eastAsia"/>
        </w:rPr>
        <w:t xml:space="preserve"> 评定改进</w:t>
      </w:r>
      <w:r>
        <w:tab/>
      </w:r>
      <w:r>
        <w:fldChar w:fldCharType="begin"/>
      </w:r>
      <w:r>
        <w:instrText xml:space="preserve"> PAGEREF _Toc200655841 \h </w:instrText>
      </w:r>
      <w:r>
        <w:fldChar w:fldCharType="separate"/>
      </w:r>
      <w:r>
        <w:t>4</w:t>
      </w:r>
      <w:r>
        <w:fldChar w:fldCharType="end"/>
      </w:r>
      <w:r>
        <w:fldChar w:fldCharType="end"/>
      </w:r>
    </w:p>
    <w:p w14:paraId="4C4C7FE9">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"_Toc200655842" </w:instrText>
      </w:r>
      <w:r>
        <w:fldChar w:fldCharType="separate"/>
      </w:r>
      <w:r>
        <w:rPr>
          <w:rStyle w:val="35"/>
        </w:rPr>
        <w:t>7</w:t>
      </w:r>
      <w:r>
        <w:rPr>
          <w:rStyle w:val="35"/>
          <w:rFonts w:hint="eastAsia"/>
        </w:rPr>
        <w:t xml:space="preserve"> 评定等级</w:t>
      </w:r>
      <w:r>
        <w:tab/>
      </w:r>
      <w:r>
        <w:fldChar w:fldCharType="begin"/>
      </w:r>
      <w:r>
        <w:instrText xml:space="preserve"> PAGEREF _Toc200655842 \h </w:instrText>
      </w:r>
      <w:r>
        <w:fldChar w:fldCharType="separate"/>
      </w:r>
      <w:r>
        <w:t>4</w:t>
      </w:r>
      <w:r>
        <w:fldChar w:fldCharType="end"/>
      </w:r>
      <w:r>
        <w:fldChar w:fldCharType="end"/>
      </w:r>
    </w:p>
    <w:p w14:paraId="2DD3E6D0">
      <w:pPr>
        <w:pStyle w:val="25"/>
        <w:rPr>
          <w:rFonts w:hint="eastAsia" w:asciiTheme="minorHAnsi" w:hAnsiTheme="minorHAnsi" w:eastAsiaTheme="minorEastAsia" w:cstheme="minorBidi"/>
          <w:szCs w:val="22"/>
        </w:rPr>
      </w:pPr>
      <w:r>
        <w:fldChar w:fldCharType="begin"/>
      </w:r>
      <w:r>
        <w:instrText xml:space="preserve"> HYPERLINK \l "_Toc200655843" </w:instrText>
      </w:r>
      <w:r>
        <w:fldChar w:fldCharType="separate"/>
      </w:r>
      <w:r>
        <w:rPr>
          <w:rStyle w:val="35"/>
          <w14:scene3d w14:prst="orthographicFront">
            <w14:lightRig w14:rig="threePt" w14:dir="t">
              <w14:rot w14:lat="0" w14:lon="0" w14:rev="0"/>
            </w14:lightRig>
          </w14:scene3d>
        </w:rPr>
        <w:t>7.1</w:t>
      </w:r>
      <w:r>
        <w:rPr>
          <w:rStyle w:val="35"/>
          <w:rFonts w:hint="eastAsia"/>
        </w:rPr>
        <w:t xml:space="preserve"> 评定等级概述</w:t>
      </w:r>
      <w:r>
        <w:tab/>
      </w:r>
      <w:r>
        <w:fldChar w:fldCharType="begin"/>
      </w:r>
      <w:r>
        <w:instrText xml:space="preserve"> PAGEREF _Toc200655843 \h </w:instrText>
      </w:r>
      <w:r>
        <w:fldChar w:fldCharType="separate"/>
      </w:r>
      <w:r>
        <w:t>5</w:t>
      </w:r>
      <w:r>
        <w:fldChar w:fldCharType="end"/>
      </w:r>
      <w:r>
        <w:fldChar w:fldCharType="end"/>
      </w:r>
    </w:p>
    <w:p w14:paraId="354A72E2">
      <w:pPr>
        <w:pStyle w:val="25"/>
        <w:rPr>
          <w:rFonts w:hint="eastAsia" w:asciiTheme="minorHAnsi" w:hAnsiTheme="minorHAnsi" w:eastAsiaTheme="minorEastAsia" w:cstheme="minorBidi"/>
          <w:szCs w:val="22"/>
        </w:rPr>
      </w:pPr>
      <w:r>
        <w:fldChar w:fldCharType="begin"/>
      </w:r>
      <w:r>
        <w:instrText xml:space="preserve"> HYPERLINK \l "_Toc200655844" </w:instrText>
      </w:r>
      <w:r>
        <w:fldChar w:fldCharType="separate"/>
      </w:r>
      <w:r>
        <w:rPr>
          <w:rStyle w:val="35"/>
          <w14:scene3d w14:prst="orthographicFront">
            <w14:lightRig w14:rig="threePt" w14:dir="t">
              <w14:rot w14:lat="0" w14:lon="0" w14:rev="0"/>
            </w14:lightRig>
          </w14:scene3d>
        </w:rPr>
        <w:t>7.2</w:t>
      </w:r>
      <w:r>
        <w:rPr>
          <w:rStyle w:val="35"/>
          <w:rFonts w:hint="eastAsia"/>
        </w:rPr>
        <w:t xml:space="preserve"> 初级</w:t>
      </w:r>
      <w:r>
        <w:tab/>
      </w:r>
      <w:r>
        <w:fldChar w:fldCharType="begin"/>
      </w:r>
      <w:r>
        <w:instrText xml:space="preserve"> PAGEREF _Toc200655844 \h </w:instrText>
      </w:r>
      <w:r>
        <w:fldChar w:fldCharType="separate"/>
      </w:r>
      <w:r>
        <w:t>5</w:t>
      </w:r>
      <w:r>
        <w:fldChar w:fldCharType="end"/>
      </w:r>
      <w:r>
        <w:fldChar w:fldCharType="end"/>
      </w:r>
    </w:p>
    <w:p w14:paraId="04262039">
      <w:pPr>
        <w:pStyle w:val="25"/>
        <w:rPr>
          <w:rFonts w:hint="eastAsia" w:asciiTheme="minorHAnsi" w:hAnsiTheme="minorHAnsi" w:eastAsiaTheme="minorEastAsia" w:cstheme="minorBidi"/>
          <w:szCs w:val="22"/>
        </w:rPr>
      </w:pPr>
      <w:r>
        <w:fldChar w:fldCharType="begin"/>
      </w:r>
      <w:r>
        <w:instrText xml:space="preserve"> HYPERLINK \l "_Toc200655845" </w:instrText>
      </w:r>
      <w:r>
        <w:fldChar w:fldCharType="separate"/>
      </w:r>
      <w:r>
        <w:rPr>
          <w:rStyle w:val="35"/>
          <w14:scene3d w14:prst="orthographicFront">
            <w14:lightRig w14:rig="threePt" w14:dir="t">
              <w14:rot w14:lat="0" w14:lon="0" w14:rev="0"/>
            </w14:lightRig>
          </w14:scene3d>
        </w:rPr>
        <w:t>7.3</w:t>
      </w:r>
      <w:r>
        <w:rPr>
          <w:rStyle w:val="35"/>
          <w:rFonts w:hint="eastAsia"/>
        </w:rPr>
        <w:t xml:space="preserve"> 中级</w:t>
      </w:r>
      <w:r>
        <w:tab/>
      </w:r>
      <w:r>
        <w:fldChar w:fldCharType="begin"/>
      </w:r>
      <w:r>
        <w:instrText xml:space="preserve"> PAGEREF _Toc200655845 \h </w:instrText>
      </w:r>
      <w:r>
        <w:fldChar w:fldCharType="separate"/>
      </w:r>
      <w:r>
        <w:t>5</w:t>
      </w:r>
      <w:r>
        <w:fldChar w:fldCharType="end"/>
      </w:r>
      <w:r>
        <w:fldChar w:fldCharType="end"/>
      </w:r>
    </w:p>
    <w:p w14:paraId="45AECF32">
      <w:pPr>
        <w:pStyle w:val="25"/>
        <w:rPr>
          <w:rFonts w:hint="eastAsia" w:asciiTheme="minorHAnsi" w:hAnsiTheme="minorHAnsi" w:eastAsiaTheme="minorEastAsia" w:cstheme="minorBidi"/>
          <w:szCs w:val="22"/>
        </w:rPr>
      </w:pPr>
      <w:r>
        <w:fldChar w:fldCharType="begin"/>
      </w:r>
      <w:r>
        <w:instrText xml:space="preserve"> HYPERLINK \l "_Toc200655846" </w:instrText>
      </w:r>
      <w:r>
        <w:fldChar w:fldCharType="separate"/>
      </w:r>
      <w:r>
        <w:rPr>
          <w:rStyle w:val="35"/>
          <w14:scene3d w14:prst="orthographicFront">
            <w14:lightRig w14:rig="threePt" w14:dir="t">
              <w14:rot w14:lat="0" w14:lon="0" w14:rev="0"/>
            </w14:lightRig>
          </w14:scene3d>
        </w:rPr>
        <w:t>7.4</w:t>
      </w:r>
      <w:r>
        <w:rPr>
          <w:rStyle w:val="35"/>
          <w:rFonts w:hint="eastAsia"/>
        </w:rPr>
        <w:t xml:space="preserve"> 高级</w:t>
      </w:r>
      <w:r>
        <w:tab/>
      </w:r>
      <w:r>
        <w:fldChar w:fldCharType="begin"/>
      </w:r>
      <w:r>
        <w:instrText xml:space="preserve"> PAGEREF _Toc200655846 \h </w:instrText>
      </w:r>
      <w:r>
        <w:fldChar w:fldCharType="separate"/>
      </w:r>
      <w:r>
        <w:t>5</w:t>
      </w:r>
      <w:r>
        <w:fldChar w:fldCharType="end"/>
      </w:r>
      <w:r>
        <w:fldChar w:fldCharType="end"/>
      </w:r>
    </w:p>
    <w:p w14:paraId="5E4F9C9C">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"_Toc200655847" </w:instrText>
      </w:r>
      <w:r>
        <w:fldChar w:fldCharType="separate"/>
      </w:r>
      <w:r>
        <w:rPr>
          <w:rStyle w:val="35"/>
        </w:rPr>
        <w:t>8</w:t>
      </w:r>
      <w:r>
        <w:rPr>
          <w:rStyle w:val="35"/>
          <w:rFonts w:hint="eastAsia"/>
        </w:rPr>
        <w:t xml:space="preserve"> 证书管理</w:t>
      </w:r>
      <w:r>
        <w:tab/>
      </w:r>
      <w:r>
        <w:fldChar w:fldCharType="begin"/>
      </w:r>
      <w:r>
        <w:instrText xml:space="preserve"> PAGEREF _Toc200655847 \h </w:instrText>
      </w:r>
      <w:r>
        <w:fldChar w:fldCharType="separate"/>
      </w:r>
      <w:r>
        <w:t>5</w:t>
      </w:r>
      <w:r>
        <w:fldChar w:fldCharType="end"/>
      </w:r>
      <w:r>
        <w:fldChar w:fldCharType="end"/>
      </w:r>
    </w:p>
    <w:p w14:paraId="2F37F8A5">
      <w:pPr>
        <w:pStyle w:val="25"/>
        <w:rPr>
          <w:rFonts w:hint="eastAsia" w:asciiTheme="minorHAnsi" w:hAnsiTheme="minorHAnsi" w:eastAsiaTheme="minorEastAsia" w:cstheme="minorBidi"/>
          <w:szCs w:val="22"/>
        </w:rPr>
      </w:pPr>
      <w:r>
        <w:fldChar w:fldCharType="begin"/>
      </w:r>
      <w:r>
        <w:instrText xml:space="preserve"> HYPERLINK \l "_Toc200655848" </w:instrText>
      </w:r>
      <w:r>
        <w:fldChar w:fldCharType="separate"/>
      </w:r>
      <w:r>
        <w:rPr>
          <w:rStyle w:val="35"/>
          <w14:scene3d w14:prst="orthographicFront">
            <w14:lightRig w14:rig="threePt" w14:dir="t">
              <w14:rot w14:lat="0" w14:lon="0" w14:rev="0"/>
            </w14:lightRig>
          </w14:scene3d>
        </w:rPr>
        <w:t>8.1</w:t>
      </w:r>
      <w:r>
        <w:rPr>
          <w:rStyle w:val="35"/>
          <w:rFonts w:hint="eastAsia"/>
        </w:rPr>
        <w:t xml:space="preserve"> 证书颁发</w:t>
      </w:r>
      <w:r>
        <w:tab/>
      </w:r>
      <w:r>
        <w:fldChar w:fldCharType="begin"/>
      </w:r>
      <w:r>
        <w:instrText xml:space="preserve"> PAGEREF _Toc200655848 \h </w:instrText>
      </w:r>
      <w:r>
        <w:fldChar w:fldCharType="separate"/>
      </w:r>
      <w:r>
        <w:t>5</w:t>
      </w:r>
      <w:r>
        <w:fldChar w:fldCharType="end"/>
      </w:r>
      <w:r>
        <w:fldChar w:fldCharType="end"/>
      </w:r>
    </w:p>
    <w:p w14:paraId="114AA1F8">
      <w:pPr>
        <w:pStyle w:val="25"/>
        <w:rPr>
          <w:rFonts w:hint="eastAsia" w:asciiTheme="minorHAnsi" w:hAnsiTheme="minorHAnsi" w:eastAsiaTheme="minorEastAsia" w:cstheme="minorBidi"/>
          <w:szCs w:val="22"/>
        </w:rPr>
      </w:pPr>
      <w:r>
        <w:fldChar w:fldCharType="begin"/>
      </w:r>
      <w:r>
        <w:instrText xml:space="preserve"> HYPERLINK \l "_Toc200655849" </w:instrText>
      </w:r>
      <w:r>
        <w:fldChar w:fldCharType="separate"/>
      </w:r>
      <w:r>
        <w:rPr>
          <w:rStyle w:val="35"/>
          <w14:scene3d w14:prst="orthographicFront">
            <w14:lightRig w14:rig="threePt" w14:dir="t">
              <w14:rot w14:lat="0" w14:lon="0" w14:rev="0"/>
            </w14:lightRig>
          </w14:scene3d>
        </w:rPr>
        <w:t>8.2</w:t>
      </w:r>
      <w:r>
        <w:rPr>
          <w:rStyle w:val="35"/>
          <w:rFonts w:hint="eastAsia"/>
        </w:rPr>
        <w:t xml:space="preserve"> 证书复审</w:t>
      </w:r>
      <w:r>
        <w:tab/>
      </w:r>
      <w:r>
        <w:fldChar w:fldCharType="begin"/>
      </w:r>
      <w:r>
        <w:instrText xml:space="preserve"> PAGEREF _Toc200655849 \h </w:instrText>
      </w:r>
      <w:r>
        <w:fldChar w:fldCharType="separate"/>
      </w:r>
      <w:r>
        <w:t>6</w:t>
      </w:r>
      <w:r>
        <w:fldChar w:fldCharType="end"/>
      </w:r>
      <w:r>
        <w:fldChar w:fldCharType="end"/>
      </w:r>
    </w:p>
    <w:p w14:paraId="77345A44">
      <w:pPr>
        <w:pStyle w:val="25"/>
        <w:rPr>
          <w:rFonts w:hint="eastAsia" w:asciiTheme="minorHAnsi" w:hAnsiTheme="minorHAnsi" w:eastAsiaTheme="minorEastAsia" w:cstheme="minorBidi"/>
          <w:szCs w:val="22"/>
        </w:rPr>
      </w:pPr>
      <w:r>
        <w:fldChar w:fldCharType="begin"/>
      </w:r>
      <w:r>
        <w:instrText xml:space="preserve"> HYPERLINK \l "_Toc200655850" </w:instrText>
      </w:r>
      <w:r>
        <w:fldChar w:fldCharType="separate"/>
      </w:r>
      <w:r>
        <w:rPr>
          <w:rStyle w:val="35"/>
          <w14:scene3d w14:prst="orthographicFront">
            <w14:lightRig w14:rig="threePt" w14:dir="t">
              <w14:rot w14:lat="0" w14:lon="0" w14:rev="0"/>
            </w14:lightRig>
          </w14:scene3d>
        </w:rPr>
        <w:t>8.3</w:t>
      </w:r>
      <w:r>
        <w:rPr>
          <w:rStyle w:val="35"/>
          <w:rFonts w:hint="eastAsia"/>
        </w:rPr>
        <w:t xml:space="preserve"> 证书注销</w:t>
      </w:r>
      <w:r>
        <w:tab/>
      </w:r>
      <w:r>
        <w:fldChar w:fldCharType="begin"/>
      </w:r>
      <w:r>
        <w:instrText xml:space="preserve"> PAGEREF _Toc200655850 \h </w:instrText>
      </w:r>
      <w:r>
        <w:fldChar w:fldCharType="separate"/>
      </w:r>
      <w:r>
        <w:t>6</w:t>
      </w:r>
      <w:r>
        <w:fldChar w:fldCharType="end"/>
      </w:r>
      <w:r>
        <w:fldChar w:fldCharType="end"/>
      </w:r>
    </w:p>
    <w:p w14:paraId="2E77E53B">
      <w:pPr>
        <w:pStyle w:val="25"/>
        <w:rPr>
          <w:rFonts w:hint="eastAsia" w:asciiTheme="minorHAnsi" w:hAnsiTheme="minorHAnsi" w:eastAsiaTheme="minorEastAsia" w:cstheme="minorBidi"/>
          <w:szCs w:val="22"/>
        </w:rPr>
      </w:pPr>
      <w:r>
        <w:fldChar w:fldCharType="begin"/>
      </w:r>
      <w:r>
        <w:instrText xml:space="preserve"> HYPERLINK \l "_Toc200655851" </w:instrText>
      </w:r>
      <w:r>
        <w:fldChar w:fldCharType="separate"/>
      </w:r>
      <w:r>
        <w:rPr>
          <w:rStyle w:val="35"/>
          <w14:scene3d w14:prst="orthographicFront">
            <w14:lightRig w14:rig="threePt" w14:dir="t">
              <w14:rot w14:lat="0" w14:lon="0" w14:rev="0"/>
            </w14:lightRig>
          </w14:scene3d>
        </w:rPr>
        <w:t>8.4</w:t>
      </w:r>
      <w:r>
        <w:rPr>
          <w:rStyle w:val="35"/>
          <w:rFonts w:hint="eastAsia"/>
        </w:rPr>
        <w:t xml:space="preserve"> 证书补发</w:t>
      </w:r>
      <w:r>
        <w:tab/>
      </w:r>
      <w:r>
        <w:fldChar w:fldCharType="begin"/>
      </w:r>
      <w:r>
        <w:instrText xml:space="preserve"> PAGEREF _Toc200655851 \h </w:instrText>
      </w:r>
      <w:r>
        <w:fldChar w:fldCharType="separate"/>
      </w:r>
      <w:r>
        <w:t>6</w:t>
      </w:r>
      <w:r>
        <w:fldChar w:fldCharType="end"/>
      </w:r>
      <w:r>
        <w:fldChar w:fldCharType="end"/>
      </w:r>
    </w:p>
    <w:p w14:paraId="48A1CC18">
      <w:pPr>
        <w:pStyle w:val="25"/>
        <w:rPr>
          <w:rFonts w:hint="eastAsia" w:asciiTheme="minorHAnsi" w:hAnsiTheme="minorHAnsi" w:eastAsiaTheme="minorEastAsia" w:cstheme="minorBidi"/>
          <w:szCs w:val="22"/>
        </w:rPr>
      </w:pPr>
      <w:r>
        <w:fldChar w:fldCharType="begin"/>
      </w:r>
      <w:r>
        <w:instrText xml:space="preserve"> HYPERLINK \l "_Toc200655852" </w:instrText>
      </w:r>
      <w:r>
        <w:fldChar w:fldCharType="separate"/>
      </w:r>
      <w:r>
        <w:rPr>
          <w:rStyle w:val="35"/>
          <w14:scene3d w14:prst="orthographicFront">
            <w14:lightRig w14:rig="threePt" w14:dir="t">
              <w14:rot w14:lat="0" w14:lon="0" w14:rev="0"/>
            </w14:lightRig>
          </w14:scene3d>
        </w:rPr>
        <w:t>8.5</w:t>
      </w:r>
      <w:r>
        <w:rPr>
          <w:rStyle w:val="35"/>
          <w:rFonts w:hint="eastAsia"/>
        </w:rPr>
        <w:t xml:space="preserve"> 证书信息变更</w:t>
      </w:r>
      <w:r>
        <w:tab/>
      </w:r>
      <w:r>
        <w:fldChar w:fldCharType="begin"/>
      </w:r>
      <w:r>
        <w:instrText xml:space="preserve"> PAGEREF _Toc200655852 \h </w:instrText>
      </w:r>
      <w:r>
        <w:fldChar w:fldCharType="separate"/>
      </w:r>
      <w:r>
        <w:t>6</w:t>
      </w:r>
      <w:r>
        <w:fldChar w:fldCharType="end"/>
      </w:r>
      <w:r>
        <w:fldChar w:fldCharType="end"/>
      </w:r>
    </w:p>
    <w:p w14:paraId="021F8F63">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"_Toc200655853" </w:instrText>
      </w:r>
      <w:r>
        <w:fldChar w:fldCharType="separate"/>
      </w:r>
      <w:r>
        <w:rPr>
          <w:rStyle w:val="35"/>
          <w:rFonts w:hint="eastAsia"/>
          <w:spacing w:val="100"/>
        </w:rPr>
        <w:t>附录A</w:t>
      </w:r>
      <w:r>
        <w:rPr>
          <w:rStyle w:val="35"/>
          <w:rFonts w:hint="eastAsia"/>
        </w:rPr>
        <w:t xml:space="preserve"> （资料性）</w:t>
      </w:r>
      <w:r>
        <w:rPr>
          <w:rStyle w:val="35"/>
        </w:rPr>
        <w:t xml:space="preserve"> </w:t>
      </w:r>
      <w:r>
        <w:rPr>
          <w:rStyle w:val="35"/>
          <w:rFonts w:hint="eastAsia"/>
        </w:rPr>
        <w:t>兴隆咖啡基础知识</w:t>
      </w:r>
      <w:r>
        <w:tab/>
      </w:r>
      <w:r>
        <w:fldChar w:fldCharType="begin"/>
      </w:r>
      <w:r>
        <w:instrText xml:space="preserve"> PAGEREF _Toc200655853 \h </w:instrText>
      </w:r>
      <w:r>
        <w:fldChar w:fldCharType="separate"/>
      </w:r>
      <w:r>
        <w:t>7</w:t>
      </w:r>
      <w:r>
        <w:fldChar w:fldCharType="end"/>
      </w:r>
      <w:r>
        <w:fldChar w:fldCharType="end"/>
      </w:r>
    </w:p>
    <w:p w14:paraId="0FCC7434">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"_Toc200655859" </w:instrText>
      </w:r>
      <w:r>
        <w:fldChar w:fldCharType="separate"/>
      </w:r>
      <w:r>
        <w:rPr>
          <w:rStyle w:val="35"/>
          <w:rFonts w:hint="eastAsia"/>
          <w:spacing w:val="100"/>
        </w:rPr>
        <w:t>附录B</w:t>
      </w:r>
      <w:r>
        <w:rPr>
          <w:rStyle w:val="35"/>
          <w:rFonts w:hint="eastAsia"/>
        </w:rPr>
        <w:t xml:space="preserve"> （资料性）</w:t>
      </w:r>
      <w:r>
        <w:rPr>
          <w:rStyle w:val="35"/>
        </w:rPr>
        <w:t xml:space="preserve"> </w:t>
      </w:r>
      <w:r>
        <w:rPr>
          <w:rStyle w:val="35"/>
          <w:rFonts w:hint="eastAsia"/>
        </w:rPr>
        <w:t>兴隆咖啡师劳务品牌</w:t>
      </w:r>
      <w:r>
        <w:rPr>
          <w:rStyle w:val="35"/>
        </w:rPr>
        <w:t xml:space="preserve">  </w:t>
      </w:r>
      <w:r>
        <w:rPr>
          <w:rStyle w:val="35"/>
          <w:rFonts w:hint="eastAsia"/>
        </w:rPr>
        <w:t>种植类人员（采摘）能力评定申请表</w:t>
      </w:r>
      <w:r>
        <w:tab/>
      </w:r>
      <w:r>
        <w:fldChar w:fldCharType="begin"/>
      </w:r>
      <w:r>
        <w:instrText xml:space="preserve"> PAGEREF _Toc200655859 \h </w:instrText>
      </w:r>
      <w:r>
        <w:fldChar w:fldCharType="separate"/>
      </w:r>
      <w:r>
        <w:t>13</w:t>
      </w:r>
      <w:r>
        <w:fldChar w:fldCharType="end"/>
      </w:r>
      <w:r>
        <w:fldChar w:fldCharType="end"/>
      </w:r>
    </w:p>
    <w:p w14:paraId="31929AF4">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"_Toc200655860" </w:instrText>
      </w:r>
      <w:r>
        <w:fldChar w:fldCharType="separate"/>
      </w:r>
      <w:r>
        <w:rPr>
          <w:rStyle w:val="35"/>
          <w:rFonts w:hint="eastAsia"/>
          <w:spacing w:val="100"/>
        </w:rPr>
        <w:t>附录C</w:t>
      </w:r>
      <w:r>
        <w:rPr>
          <w:rStyle w:val="35"/>
          <w:rFonts w:hint="eastAsia"/>
        </w:rPr>
        <w:t xml:space="preserve"> （资料性）</w:t>
      </w:r>
      <w:r>
        <w:rPr>
          <w:rStyle w:val="35"/>
        </w:rPr>
        <w:t xml:space="preserve"> </w:t>
      </w:r>
      <w:r>
        <w:rPr>
          <w:rStyle w:val="35"/>
          <w:rFonts w:hint="eastAsia"/>
        </w:rPr>
        <w:t>兴隆咖啡师劳务品牌</w:t>
      </w:r>
      <w:r>
        <w:rPr>
          <w:rStyle w:val="35"/>
        </w:rPr>
        <w:t xml:space="preserve">  </w:t>
      </w:r>
      <w:r>
        <w:rPr>
          <w:rStyle w:val="35"/>
          <w:rFonts w:hint="eastAsia"/>
        </w:rPr>
        <w:t>种植类人员（采摘）能力证书样式</w:t>
      </w:r>
      <w:r>
        <w:tab/>
      </w:r>
      <w:r>
        <w:fldChar w:fldCharType="begin"/>
      </w:r>
      <w:r>
        <w:instrText xml:space="preserve"> PAGEREF _Toc200655860 \h </w:instrText>
      </w:r>
      <w:r>
        <w:fldChar w:fldCharType="separate"/>
      </w:r>
      <w:r>
        <w:t>14</w:t>
      </w:r>
      <w:r>
        <w:fldChar w:fldCharType="end"/>
      </w:r>
      <w:r>
        <w:fldChar w:fldCharType="end"/>
      </w:r>
    </w:p>
    <w:p w14:paraId="604F45A0">
      <w:pPr>
        <w:pStyle w:val="20"/>
        <w:tabs>
          <w:tab w:val="right" w:leader="dot" w:pos="9344"/>
        </w:tabs>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begin"/>
      </w:r>
      <w:r>
        <w:instrText xml:space="preserve"> HYPERLINK \l "_Toc200655861" </w:instrText>
      </w:r>
      <w:r>
        <w:fldChar w:fldCharType="separate"/>
      </w:r>
      <w:r>
        <w:rPr>
          <w:rStyle w:val="35"/>
          <w:rFonts w:hint="eastAsia"/>
          <w:spacing w:val="100"/>
        </w:rPr>
        <w:t>附录D</w:t>
      </w:r>
      <w:r>
        <w:rPr>
          <w:rStyle w:val="35"/>
          <w:rFonts w:hint="eastAsia"/>
        </w:rPr>
        <w:t xml:space="preserve"> （资料性）</w:t>
      </w:r>
      <w:r>
        <w:rPr>
          <w:rStyle w:val="35"/>
        </w:rPr>
        <w:t xml:space="preserve"> </w:t>
      </w:r>
      <w:r>
        <w:rPr>
          <w:rStyle w:val="35"/>
          <w:rFonts w:hint="eastAsia"/>
        </w:rPr>
        <w:t>兴隆咖啡师劳务品牌</w:t>
      </w:r>
      <w:r>
        <w:rPr>
          <w:rStyle w:val="35"/>
        </w:rPr>
        <w:t xml:space="preserve">  </w:t>
      </w:r>
      <w:r>
        <w:rPr>
          <w:rStyle w:val="35"/>
          <w:rFonts w:hint="eastAsia"/>
        </w:rPr>
        <w:t>种植类人员（采摘）能力评定评分标准</w:t>
      </w:r>
      <w:r>
        <w:tab/>
      </w:r>
      <w:r>
        <w:fldChar w:fldCharType="begin"/>
      </w:r>
      <w:r>
        <w:instrText xml:space="preserve"> PAGEREF _Toc200655861 \h </w:instrText>
      </w:r>
      <w:r>
        <w:fldChar w:fldCharType="separate"/>
      </w:r>
      <w:r>
        <w:t>15</w:t>
      </w:r>
      <w:r>
        <w:fldChar w:fldCharType="end"/>
      </w:r>
      <w:r>
        <w:fldChar w:fldCharType="end"/>
      </w:r>
      <w:r>
        <w:fldChar w:fldCharType="end"/>
      </w:r>
    </w:p>
    <w:bookmarkEnd w:id="21"/>
    <w:p w14:paraId="5C2EF3CC">
      <w:pPr>
        <w:pStyle w:val="92"/>
        <w:spacing w:before="900" w:after="360"/>
      </w:pPr>
      <w:bookmarkStart w:id="23" w:name="_Toc200655815"/>
      <w:bookmarkStart w:id="24" w:name="BookMark2"/>
      <w:r>
        <w:rPr>
          <w:rFonts w:hint="eastAsia"/>
          <w:spacing w:val="320"/>
        </w:rPr>
        <w:t>前</w:t>
      </w:r>
      <w:r>
        <w:rPr>
          <w:rFonts w:hint="eastAsia"/>
        </w:rPr>
        <w:t>言</w:t>
      </w:r>
      <w:bookmarkEnd w:id="22"/>
      <w:bookmarkEnd w:id="23"/>
    </w:p>
    <w:p w14:paraId="104BCFCD">
      <w:pPr>
        <w:pStyle w:val="59"/>
        <w:ind w:firstLine="420"/>
      </w:pPr>
      <w:r>
        <w:rPr>
          <w:rFonts w:hint="eastAsia"/>
        </w:rPr>
        <w:t>本文件按照GB/T 1.1—2020《标准化工作导则  第1部分：标准化文件的结构和起草规则》的规定起草。</w:t>
      </w:r>
    </w:p>
    <w:p w14:paraId="476F9429">
      <w:pPr>
        <w:pStyle w:val="59"/>
        <w:ind w:firstLine="420"/>
      </w:pPr>
      <w:r>
        <w:rPr>
          <w:rFonts w:hint="eastAsia" w:hAnsi="宋体" w:cs="宋体"/>
          <w:szCs w:val="21"/>
        </w:rPr>
        <w:t>本文件是T/CSTC XXX《</w:t>
      </w:r>
      <w:r>
        <w:rPr>
          <w:rFonts w:hint="eastAsia"/>
        </w:rPr>
        <w:t>兴隆咖啡师劳务品牌</w:t>
      </w:r>
      <w:r>
        <w:rPr>
          <w:rFonts w:hint="eastAsia" w:hAnsi="宋体" w:cs="宋体"/>
          <w:szCs w:val="21"/>
        </w:rPr>
        <w:t>》的第1部分。T/CSTC XXX包含以下部分：</w:t>
      </w:r>
    </w:p>
    <w:p w14:paraId="1E93B493">
      <w:pPr>
        <w:pStyle w:val="59"/>
        <w:ind w:firstLine="420"/>
        <w:rPr>
          <w:rFonts w:hint="eastAsia" w:hAnsi="宋体" w:cs="宋体"/>
          <w:szCs w:val="21"/>
        </w:rPr>
      </w:pPr>
      <w:r>
        <w:rPr>
          <w:rFonts w:hint="eastAsia" w:hAnsi="宋体" w:cs="宋体"/>
          <w:szCs w:val="21"/>
        </w:rPr>
        <w:t>——第1部分：兴隆咖啡师劳务品牌  种植类人员能力评定规范。</w:t>
      </w:r>
    </w:p>
    <w:p w14:paraId="2383306A">
      <w:pPr>
        <w:pStyle w:val="59"/>
        <w:ind w:firstLine="420"/>
        <w:rPr>
          <w:rFonts w:hint="eastAsia" w:hAnsi="宋体" w:cs="宋体"/>
          <w:szCs w:val="21"/>
        </w:rPr>
      </w:pPr>
      <w:r>
        <w:rPr>
          <w:rFonts w:hint="eastAsia" w:hAnsi="宋体" w:cs="宋体"/>
          <w:szCs w:val="21"/>
        </w:rPr>
        <w:t>——第</w:t>
      </w:r>
      <w:r>
        <w:rPr>
          <w:rFonts w:hAnsi="宋体" w:cs="宋体"/>
          <w:szCs w:val="21"/>
        </w:rPr>
        <w:t>2</w:t>
      </w:r>
      <w:r>
        <w:rPr>
          <w:rFonts w:hint="eastAsia" w:hAnsi="宋体" w:cs="宋体"/>
          <w:szCs w:val="21"/>
        </w:rPr>
        <w:t>部分：兴隆咖啡师劳务品牌  初加工人员能力评定规范。</w:t>
      </w:r>
    </w:p>
    <w:p w14:paraId="7AE51125">
      <w:pPr>
        <w:pStyle w:val="59"/>
        <w:ind w:firstLine="420"/>
        <w:rPr>
          <w:rFonts w:hint="eastAsia" w:hAnsi="宋体" w:cs="宋体"/>
          <w:szCs w:val="21"/>
        </w:rPr>
      </w:pPr>
      <w:r>
        <w:rPr>
          <w:rFonts w:hint="eastAsia" w:hAnsi="宋体" w:cs="宋体"/>
          <w:szCs w:val="21"/>
        </w:rPr>
        <w:t>——第</w:t>
      </w:r>
      <w:r>
        <w:rPr>
          <w:rFonts w:hAnsi="宋体" w:cs="宋体"/>
          <w:szCs w:val="21"/>
        </w:rPr>
        <w:t>3</w:t>
      </w:r>
      <w:r>
        <w:rPr>
          <w:rFonts w:hint="eastAsia" w:hAnsi="宋体" w:cs="宋体"/>
          <w:szCs w:val="21"/>
        </w:rPr>
        <w:t>部分：兴隆咖啡师劳务品牌  焙炒加工人员能力评定规范。</w:t>
      </w:r>
    </w:p>
    <w:p w14:paraId="40CFB2F3">
      <w:pPr>
        <w:pStyle w:val="59"/>
        <w:ind w:firstLine="420"/>
        <w:rPr>
          <w:rFonts w:hint="eastAsia" w:hAnsi="宋体" w:cs="宋体"/>
          <w:szCs w:val="21"/>
        </w:rPr>
      </w:pPr>
      <w:r>
        <w:rPr>
          <w:rFonts w:hint="eastAsia" w:hAnsi="宋体" w:cs="宋体"/>
          <w:szCs w:val="21"/>
        </w:rPr>
        <w:t>——第</w:t>
      </w:r>
      <w:r>
        <w:rPr>
          <w:rFonts w:hAnsi="宋体" w:cs="宋体"/>
          <w:szCs w:val="21"/>
        </w:rPr>
        <w:t>4</w:t>
      </w:r>
      <w:r>
        <w:rPr>
          <w:rFonts w:hint="eastAsia" w:hAnsi="宋体" w:cs="宋体"/>
          <w:szCs w:val="21"/>
        </w:rPr>
        <w:t>部分：兴隆咖啡师劳务品牌  饮品制作人员能力评定规范。</w:t>
      </w:r>
    </w:p>
    <w:p w14:paraId="7B10ED83">
      <w:pPr>
        <w:pStyle w:val="59"/>
        <w:ind w:firstLine="420"/>
        <w:rPr>
          <w:rFonts w:hint="eastAsia" w:hAnsi="宋体" w:cs="宋体"/>
          <w:szCs w:val="21"/>
        </w:rPr>
      </w:pPr>
      <w:r>
        <w:rPr>
          <w:rFonts w:hint="eastAsia" w:hAnsi="宋体" w:cs="宋体"/>
          <w:szCs w:val="21"/>
        </w:rPr>
        <w:t>——第</w:t>
      </w:r>
      <w:r>
        <w:rPr>
          <w:rFonts w:hAnsi="宋体" w:cs="宋体"/>
          <w:szCs w:val="21"/>
        </w:rPr>
        <w:t>5</w:t>
      </w:r>
      <w:r>
        <w:rPr>
          <w:rFonts w:hint="eastAsia" w:hAnsi="宋体" w:cs="宋体"/>
          <w:szCs w:val="21"/>
        </w:rPr>
        <w:t>部分：兴隆咖啡师劳务品牌  深加工人员能力评定规范。</w:t>
      </w:r>
    </w:p>
    <w:p w14:paraId="5374C79B">
      <w:pPr>
        <w:pStyle w:val="59"/>
        <w:ind w:firstLine="420"/>
        <w:rPr>
          <w:rFonts w:hint="eastAsia" w:hAnsi="宋体" w:cs="宋体"/>
          <w:szCs w:val="21"/>
        </w:rPr>
      </w:pPr>
      <w:r>
        <w:rPr>
          <w:rFonts w:hint="eastAsia" w:hAnsi="宋体" w:cs="宋体"/>
          <w:szCs w:val="21"/>
        </w:rPr>
        <w:t>——第</w:t>
      </w:r>
      <w:r>
        <w:rPr>
          <w:rFonts w:hAnsi="宋体" w:cs="宋体"/>
          <w:szCs w:val="21"/>
        </w:rPr>
        <w:t>6</w:t>
      </w:r>
      <w:r>
        <w:rPr>
          <w:rFonts w:hint="eastAsia" w:hAnsi="宋体" w:cs="宋体"/>
          <w:szCs w:val="21"/>
        </w:rPr>
        <w:t>部分：兴隆咖啡师劳务品牌  门店服务类人员能力评定规范。</w:t>
      </w:r>
    </w:p>
    <w:p w14:paraId="421A5974">
      <w:pPr>
        <w:pStyle w:val="59"/>
        <w:ind w:firstLine="420"/>
        <w:rPr>
          <w:rFonts w:hint="eastAsia" w:hAnsi="宋体" w:cs="宋体"/>
          <w:szCs w:val="21"/>
        </w:rPr>
      </w:pPr>
      <w:r>
        <w:rPr>
          <w:rFonts w:hint="eastAsia" w:hAnsi="宋体" w:cs="宋体"/>
          <w:szCs w:val="21"/>
        </w:rPr>
        <w:t>——第</w:t>
      </w:r>
      <w:r>
        <w:rPr>
          <w:rFonts w:hAnsi="宋体" w:cs="宋体"/>
          <w:szCs w:val="21"/>
        </w:rPr>
        <w:t>7</w:t>
      </w:r>
      <w:r>
        <w:rPr>
          <w:rFonts w:hint="eastAsia" w:hAnsi="宋体" w:cs="宋体"/>
          <w:szCs w:val="21"/>
        </w:rPr>
        <w:t>部分：兴隆咖啡师劳务品牌  终端门店服务及评价规范。</w:t>
      </w:r>
    </w:p>
    <w:p w14:paraId="07E6904F">
      <w:pPr>
        <w:pStyle w:val="59"/>
        <w:ind w:firstLine="420"/>
        <w:rPr>
          <w:rFonts w:hint="eastAsia" w:hAnsi="宋体" w:cs="宋体"/>
          <w:szCs w:val="21"/>
        </w:rPr>
      </w:pPr>
      <w:r>
        <w:rPr>
          <w:rFonts w:hint="eastAsia" w:hAnsi="宋体" w:cs="宋体"/>
          <w:szCs w:val="21"/>
        </w:rPr>
        <w:t>——第</w:t>
      </w:r>
      <w:r>
        <w:rPr>
          <w:rFonts w:hAnsi="宋体" w:cs="宋体"/>
          <w:szCs w:val="21"/>
        </w:rPr>
        <w:t>8</w:t>
      </w:r>
      <w:r>
        <w:rPr>
          <w:rFonts w:hint="eastAsia" w:hAnsi="宋体" w:cs="宋体"/>
          <w:szCs w:val="21"/>
        </w:rPr>
        <w:t>部分：兴隆咖啡师劳务品牌  种植基地建设及评价规范。</w:t>
      </w:r>
    </w:p>
    <w:p w14:paraId="333AE005">
      <w:pPr>
        <w:pStyle w:val="59"/>
        <w:ind w:firstLine="420"/>
      </w:pPr>
      <w:r>
        <w:rPr>
          <w:rFonts w:hint="eastAsia" w:hAnsi="宋体" w:cs="宋体"/>
          <w:szCs w:val="21"/>
        </w:rPr>
        <w:t>——第</w:t>
      </w:r>
      <w:r>
        <w:rPr>
          <w:rFonts w:hAnsi="宋体" w:cs="宋体"/>
          <w:szCs w:val="21"/>
        </w:rPr>
        <w:t>9</w:t>
      </w:r>
      <w:r>
        <w:rPr>
          <w:rFonts w:hint="eastAsia" w:hAnsi="宋体" w:cs="宋体"/>
          <w:szCs w:val="21"/>
        </w:rPr>
        <w:t>部分：兴隆咖啡师劳务品牌  加工基地建设及评价规范。</w:t>
      </w:r>
    </w:p>
    <w:p w14:paraId="74B0F7EE">
      <w:pPr>
        <w:pStyle w:val="59"/>
        <w:ind w:firstLine="420"/>
      </w:pPr>
      <w:r>
        <w:rPr>
          <w:rFonts w:hint="eastAsia"/>
        </w:rPr>
        <w:t>请注意本文件的某些内容可能涉及专利。本文件的发布机构不承担识别专利的责任。</w:t>
      </w:r>
    </w:p>
    <w:p w14:paraId="411E165F">
      <w:pPr>
        <w:pStyle w:val="59"/>
        <w:ind w:firstLine="420"/>
      </w:pPr>
      <w:r>
        <w:rPr>
          <w:rFonts w:hint="eastAsia"/>
        </w:rPr>
        <w:t>本文件由</w:t>
      </w:r>
      <w:r>
        <w:rPr>
          <w:rFonts w:hint="eastAsia" w:ascii="Times New Roman"/>
        </w:rPr>
        <w:t>中国热带作物学会</w:t>
      </w:r>
      <w:r>
        <w:rPr>
          <w:rFonts w:hint="eastAsia"/>
        </w:rPr>
        <w:t>提出并归口。</w:t>
      </w:r>
    </w:p>
    <w:p w14:paraId="3A4D0717">
      <w:pPr>
        <w:pStyle w:val="59"/>
        <w:ind w:firstLine="420"/>
        <w:rPr>
          <w:rFonts w:hint="eastAsia" w:eastAsia="宋体"/>
          <w:lang w:val="en-US" w:eastAsia="zh-CN"/>
        </w:rPr>
      </w:pPr>
      <w:r>
        <w:rPr>
          <w:rFonts w:hint="eastAsia"/>
        </w:rPr>
        <w:t>本文件起草单位：中国热带农业科学院香料饮料研究所、云南农业大学、西北政法大学、西南政法大学新闻传播学院、海南澄迈中等职业技术学校、万宁兴隆咖啡谷归国华侨联合会</w:t>
      </w:r>
      <w:r>
        <w:rPr>
          <w:rFonts w:hint="eastAsia"/>
          <w:lang w:eastAsia="zh-CN"/>
        </w:rPr>
        <w:t>。</w:t>
      </w:r>
    </w:p>
    <w:p w14:paraId="3815C942">
      <w:pPr>
        <w:pStyle w:val="59"/>
        <w:ind w:firstLine="420"/>
      </w:pPr>
      <w:r>
        <w:rPr>
          <w:rFonts w:hint="eastAsia"/>
        </w:rPr>
        <w:t>本文件主要起草人：闫林、蒋快东、孙江、蔡斐、李丽芬、黄海生、孙燕、庞永青、龙宇宙、黄永衡、郑何美、孙世伟。</w:t>
      </w:r>
    </w:p>
    <w:p w14:paraId="36D6C2E4">
      <w:pPr>
        <w:pStyle w:val="59"/>
        <w:ind w:firstLine="420"/>
        <w:sectPr>
          <w:pgSz w:w="11906" w:h="16838"/>
          <w:pgMar w:top="1928" w:right="1134" w:bottom="1134" w:left="1134" w:header="1418" w:footer="1134" w:gutter="284"/>
          <w:pgNumType w:fmt="upperRoman"/>
          <w:cols w:space="425" w:num="1"/>
          <w:formProt w:val="0"/>
          <w:docGrid w:linePitch="312" w:charSpace="0"/>
        </w:sectPr>
      </w:pPr>
      <w:bookmarkStart w:id="203" w:name="_GoBack"/>
      <w:bookmarkEnd w:id="203"/>
    </w:p>
    <w:bookmarkEnd w:id="24"/>
    <w:p w14:paraId="67FF7D77">
      <w:pPr>
        <w:pStyle w:val="92"/>
        <w:spacing w:after="360"/>
      </w:pPr>
      <w:bookmarkStart w:id="25" w:name="_Toc198559291"/>
      <w:bookmarkStart w:id="26" w:name="_Toc200655816"/>
      <w:bookmarkStart w:id="27" w:name="BookMark3"/>
      <w:r>
        <w:rPr>
          <w:rFonts w:hint="eastAsia"/>
          <w:spacing w:val="320"/>
        </w:rPr>
        <w:t>引</w:t>
      </w:r>
      <w:r>
        <w:rPr>
          <w:rFonts w:hint="eastAsia"/>
        </w:rPr>
        <w:t>言</w:t>
      </w:r>
      <w:bookmarkEnd w:id="25"/>
      <w:bookmarkEnd w:id="26"/>
    </w:p>
    <w:p w14:paraId="4F7D39DD">
      <w:pPr>
        <w:pStyle w:val="59"/>
        <w:ind w:firstLine="420"/>
      </w:pPr>
      <w:r>
        <w:rPr>
          <w:rFonts w:hint="eastAsia"/>
        </w:rPr>
        <w:t>近年来，中国咖啡市场呈现出强劲的发展态势，咖啡消费场景不断拓展，市场规模持续扩张。2023 年，中国现制咖啡市场规模一举突破 1600 亿元，且增长势头不减，预计到 2025 年，这一数字将冲破 2200 亿元，咖啡整体市场规模更是有望突破 1 万亿。在咖啡行业迅猛发展的背后，是咖啡产业链各环节对专业人才的急切渴求。</w:t>
      </w:r>
    </w:p>
    <w:p w14:paraId="1221A1E3">
      <w:pPr>
        <w:pStyle w:val="59"/>
        <w:ind w:firstLine="420"/>
      </w:pPr>
      <w:r>
        <w:rPr>
          <w:rFonts w:hint="eastAsia"/>
        </w:rPr>
        <w:t>标准，是推动行业进步的关键力量，是规范市场秩序、提升产品质量的重要技术制度。习近平主席指出 “标准助推创新发展，标准引领时代进步”，在竞争激烈的咖啡行业，劳务品牌代表着专业和品质，是消费者选择的重要依据。对于兴隆咖啡这一海南省特色农产品品牌而言，从种植源头到终端市场，每一个环节的标准化建设都深刻影响着品牌形象和市场竞争力。</w:t>
      </w:r>
    </w:p>
    <w:p w14:paraId="2F4C49B2">
      <w:pPr>
        <w:pStyle w:val="59"/>
        <w:ind w:firstLine="420"/>
      </w:pPr>
      <w:r>
        <w:rPr>
          <w:rFonts w:hint="eastAsia"/>
        </w:rPr>
        <w:t>兴隆咖啡凭借独特的风味和品质，已成功获批国家地理标志保护产品、农产品地理保护标志以及中欧国际互保互认地理标志产品，品牌影响力不断提升。在兴隆咖啡的全产业链中，种植类人员（采摘）的工作是保障咖啡豆品质的基础。采摘环节直接关系到咖啡豆的成熟度和完整性，进而决定了最终咖啡产品的风味和品质。优秀的种植类采摘人员，需要掌握科学的采摘方法，应准确判断咖啡豆的成熟时机，熟练且高效地完成采摘工作，防止对咖啡豆造成损伤，确保采摘的咖啡豆品质上乘。他们的专业能力和工作态度，直接影响着兴隆咖啡的品质根基和品牌声誉。</w:t>
      </w:r>
    </w:p>
    <w:p w14:paraId="1CB40F67">
      <w:pPr>
        <w:pStyle w:val="59"/>
        <w:ind w:firstLine="420"/>
      </w:pPr>
      <w:r>
        <w:rPr>
          <w:rFonts w:hint="eastAsia"/>
        </w:rPr>
        <w:t>基于此，制定《兴隆咖啡师劳务品牌  种植类人员（采摘）能力评定规范》具有重要的现实意义。该规范的出台，有助于提升种植类采摘人员的专业技能和职业素养，为兴隆咖啡的品质把控筑牢根基。同时，它将进一步完善兴隆咖啡师劳务品牌的标准化体系，增强消费者对品牌的认可和信赖，推动兴隆咖啡品牌在激烈的市场竞争中稳步发展，开拓更广阔的市场空间。</w:t>
      </w:r>
    </w:p>
    <w:p w14:paraId="42BF9ECF">
      <w:pPr>
        <w:pStyle w:val="59"/>
        <w:ind w:firstLine="420"/>
      </w:pPr>
    </w:p>
    <w:p w14:paraId="4C3C5479">
      <w:pPr>
        <w:pStyle w:val="59"/>
        <w:ind w:firstLine="420"/>
        <w:sectPr>
          <w:pgSz w:w="11906" w:h="16838"/>
          <w:pgMar w:top="1928" w:right="1134" w:bottom="1134" w:left="1134" w:header="1418" w:footer="1134" w:gutter="284"/>
          <w:pgNumType w:fmt="upperRoman"/>
          <w:cols w:space="425" w:num="1"/>
          <w:formProt w:val="0"/>
          <w:docGrid w:linePitch="312" w:charSpace="0"/>
        </w:sectPr>
      </w:pPr>
    </w:p>
    <w:bookmarkEnd w:id="27"/>
    <w:p w14:paraId="418187AA">
      <w:pPr>
        <w:spacing w:line="20" w:lineRule="exact"/>
        <w:jc w:val="center"/>
        <w:rPr>
          <w:rFonts w:hint="eastAsia" w:ascii="黑体" w:hAnsi="黑体" w:eastAsia="黑体"/>
          <w:sz w:val="32"/>
          <w:szCs w:val="32"/>
        </w:rPr>
      </w:pPr>
      <w:bookmarkStart w:id="28" w:name="BookMark4"/>
    </w:p>
    <w:p w14:paraId="213E5934">
      <w:pPr>
        <w:spacing w:line="20" w:lineRule="exact"/>
        <w:jc w:val="center"/>
        <w:rPr>
          <w:rFonts w:hint="eastAsia" w:ascii="黑体" w:hAnsi="黑体" w:eastAsia="黑体"/>
          <w:sz w:val="32"/>
          <w:szCs w:val="32"/>
        </w:rPr>
      </w:pPr>
    </w:p>
    <w:sdt>
      <w:sdtPr>
        <w:tag w:val="NEW_STAND_NAME"/>
        <w:id w:val="595910757"/>
        <w:lock w:val="sdtLocked"/>
        <w:placeholder>
          <w:docPart w:val="97C9D4C73F9C44768D0067DB9066A87B"/>
        </w:placeholder>
      </w:sdtPr>
      <w:sdtContent>
        <w:p w14:paraId="6FF0EE90">
          <w:pPr>
            <w:pStyle w:val="180"/>
            <w:spacing w:before="2" w:beforeLines="1" w:after="528" w:afterLines="220"/>
            <w:rPr>
              <w:rFonts w:hint="eastAsia"/>
            </w:rPr>
          </w:pPr>
          <w:bookmarkStart w:id="29" w:name="NEW_STAND_NAME"/>
          <w:r>
            <w:rPr>
              <w:rFonts w:hint="eastAsia"/>
            </w:rPr>
            <w:t>兴隆咖啡师劳务品牌</w:t>
          </w:r>
          <w:r>
            <w:t xml:space="preserve">  种植类人员（采摘）能力评定规范</w:t>
          </w:r>
        </w:p>
      </w:sdtContent>
    </w:sdt>
    <w:bookmarkEnd w:id="29"/>
    <w:p w14:paraId="08FCFFE1">
      <w:pPr>
        <w:pStyle w:val="107"/>
        <w:spacing w:before="240" w:after="240"/>
      </w:pPr>
      <w:bookmarkStart w:id="30" w:name="_Toc26986530"/>
      <w:bookmarkStart w:id="31" w:name="_Toc26986771"/>
      <w:bookmarkStart w:id="32" w:name="_Toc198559292"/>
      <w:bookmarkStart w:id="33" w:name="_Toc26648465"/>
      <w:bookmarkStart w:id="34" w:name="_Toc24884218"/>
      <w:bookmarkStart w:id="35" w:name="_Toc17233333"/>
      <w:bookmarkStart w:id="36" w:name="_Toc17233325"/>
      <w:bookmarkStart w:id="37" w:name="_Toc97192964"/>
      <w:bookmarkStart w:id="38" w:name="_Toc24884211"/>
      <w:bookmarkStart w:id="39" w:name="_Toc26718930"/>
      <w:bookmarkStart w:id="40" w:name="_Toc200655817"/>
      <w:r>
        <w:rPr>
          <w:rFonts w:hint="eastAsia"/>
        </w:rPr>
        <w:t>范围</w:t>
      </w:r>
      <w:bookmarkEnd w:id="30"/>
      <w:bookmarkEnd w:id="31"/>
      <w:bookmarkEnd w:id="32"/>
      <w:bookmarkEnd w:id="33"/>
      <w:bookmarkEnd w:id="34"/>
      <w:bookmarkEnd w:id="35"/>
      <w:bookmarkEnd w:id="36"/>
      <w:bookmarkEnd w:id="37"/>
      <w:bookmarkEnd w:id="38"/>
      <w:bookmarkEnd w:id="39"/>
      <w:bookmarkEnd w:id="40"/>
    </w:p>
    <w:p w14:paraId="6CF10E10">
      <w:pPr>
        <w:pStyle w:val="59"/>
        <w:ind w:firstLine="420"/>
      </w:pPr>
      <w:bookmarkStart w:id="41" w:name="_Toc26648466"/>
      <w:bookmarkStart w:id="42" w:name="_Toc17233334"/>
      <w:bookmarkStart w:id="43" w:name="_Toc17233326"/>
      <w:bookmarkStart w:id="44" w:name="_Toc24884219"/>
      <w:bookmarkStart w:id="45" w:name="_Toc24884212"/>
      <w:r>
        <w:rPr>
          <w:rFonts w:hint="eastAsia"/>
        </w:rPr>
        <w:t>本文件规定了兴隆咖啡师劳务品牌种植类人员（采摘）能力评定的术语和定义、评定原则、评定机构、评定内容、评定方法、评定等级及证书管理。</w:t>
      </w:r>
    </w:p>
    <w:p w14:paraId="76B565E8">
      <w:pPr>
        <w:pStyle w:val="59"/>
        <w:ind w:firstLine="420"/>
      </w:pPr>
      <w:r>
        <w:rPr>
          <w:rFonts w:hint="eastAsia"/>
        </w:rPr>
        <w:t>本文件适用于兴隆咖啡师劳务品牌种植类人员（采摘）能力的评定；可为劳务品牌建设、雇佣双方及相关培训、监管等工作提供依据。</w:t>
      </w:r>
    </w:p>
    <w:p w14:paraId="28137D47">
      <w:pPr>
        <w:pStyle w:val="107"/>
        <w:spacing w:before="240" w:after="240"/>
      </w:pPr>
      <w:bookmarkStart w:id="46" w:name="_Toc200655818"/>
      <w:bookmarkStart w:id="47" w:name="_Toc26986531"/>
      <w:bookmarkStart w:id="48" w:name="_Toc198559293"/>
      <w:bookmarkStart w:id="49" w:name="_Toc26986772"/>
      <w:bookmarkStart w:id="50" w:name="_Toc26718931"/>
      <w:bookmarkStart w:id="51" w:name="_Toc97192965"/>
      <w:r>
        <w:rPr>
          <w:rFonts w:hint="eastAsia"/>
        </w:rPr>
        <w:t>规范性引用文件</w:t>
      </w:r>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2E36ED7513F44D2B8284A37067569B1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EB9DA59">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AFA3BBD">
      <w:pPr>
        <w:pStyle w:val="59"/>
        <w:ind w:firstLine="420"/>
      </w:pPr>
      <w:r>
        <w:t xml:space="preserve">GB/T 18007 </w:t>
      </w:r>
      <w:r>
        <w:rPr>
          <w:rFonts w:hint="eastAsia"/>
        </w:rPr>
        <w:t xml:space="preserve"> </w:t>
      </w:r>
      <w:r>
        <w:t>咖啡及其制品术语</w:t>
      </w:r>
    </w:p>
    <w:p w14:paraId="3CD26600">
      <w:pPr>
        <w:pStyle w:val="59"/>
        <w:ind w:firstLine="420"/>
      </w:pPr>
      <w:r>
        <w:rPr>
          <w:rFonts w:hint="eastAsia"/>
        </w:rPr>
        <w:t>NY/T 3329  咖啡种苗生产技术规程</w:t>
      </w:r>
    </w:p>
    <w:p w14:paraId="6E9FEB82">
      <w:pPr>
        <w:pStyle w:val="59"/>
        <w:ind w:firstLine="420"/>
      </w:pPr>
      <w:r>
        <w:t>DB46/T 63  地理标志产品  兴隆咖啡</w:t>
      </w:r>
    </w:p>
    <w:p w14:paraId="081ACE72">
      <w:pPr>
        <w:pStyle w:val="59"/>
        <w:ind w:firstLine="420"/>
      </w:pPr>
      <w:r>
        <w:rPr>
          <w:rFonts w:hint="eastAsia"/>
        </w:rPr>
        <w:t>DB46/T 631  农产品全产业链生产规范 咖啡</w:t>
      </w:r>
    </w:p>
    <w:p w14:paraId="076E9467">
      <w:pPr>
        <w:pStyle w:val="59"/>
        <w:ind w:firstLine="420"/>
      </w:pPr>
      <w:r>
        <w:rPr>
          <w:rFonts w:hint="eastAsia"/>
        </w:rPr>
        <w:t>T/HNBX 114  兴隆咖啡  种苗繁育技术规程</w:t>
      </w:r>
    </w:p>
    <w:p w14:paraId="383FF49B">
      <w:pPr>
        <w:pStyle w:val="107"/>
        <w:spacing w:before="240" w:after="240"/>
      </w:pPr>
      <w:bookmarkStart w:id="52" w:name="_Toc198559294"/>
      <w:bookmarkStart w:id="53" w:name="_Toc200655819"/>
      <w:bookmarkStart w:id="54" w:name="_Toc97192966"/>
      <w:r>
        <w:rPr>
          <w:rFonts w:hint="eastAsia"/>
          <w:szCs w:val="21"/>
        </w:rPr>
        <w:t>术语和定义</w:t>
      </w:r>
      <w:bookmarkEnd w:id="52"/>
      <w:bookmarkEnd w:id="53"/>
      <w:bookmarkEnd w:id="54"/>
    </w:p>
    <w:sdt>
      <w:sdtPr>
        <w:id w:val="-1909835108"/>
        <w:placeholder>
          <w:docPart w:val="001378411DFA4ADF99F27FA7A2C2122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897B933">
          <w:pPr>
            <w:pStyle w:val="59"/>
            <w:ind w:firstLine="420"/>
          </w:pPr>
          <w:bookmarkStart w:id="55" w:name="_Toc26986532"/>
          <w:bookmarkEnd w:id="55"/>
          <w:r>
            <w:t>下列术语和定义适用于本文件。</w:t>
          </w:r>
        </w:p>
      </w:sdtContent>
    </w:sdt>
    <w:p w14:paraId="3FA899AB">
      <w:pPr>
        <w:pStyle w:val="108"/>
        <w:spacing w:before="120" w:after="120"/>
      </w:pPr>
      <w:r>
        <w:rPr>
          <w:rFonts w:hAnsi="黑体"/>
        </w:rPr>
        <w:br w:type="textWrapping"/>
      </w:r>
      <w:r>
        <w:rPr>
          <w:rFonts w:hint="eastAsia" w:hAnsi="黑体"/>
        </w:rPr>
        <w:t xml:space="preserve"> </w:t>
      </w:r>
      <w:r>
        <w:rPr>
          <w:rFonts w:hAnsi="黑体"/>
        </w:rPr>
        <w:t xml:space="preserve">   </w:t>
      </w:r>
      <w:bookmarkStart w:id="56" w:name="_Toc200655820"/>
      <w:r>
        <w:rPr>
          <w:rFonts w:hAnsi="黑体"/>
        </w:rPr>
        <w:t>咖啡</w:t>
      </w:r>
      <w:r>
        <w:t xml:space="preserve"> </w:t>
      </w:r>
      <w:r>
        <w:rPr>
          <w:rFonts w:hint="eastAsia"/>
        </w:rPr>
        <w:t xml:space="preserve"> c</w:t>
      </w:r>
      <w:r>
        <w:t>offee</w:t>
      </w:r>
      <w:bookmarkEnd w:id="56"/>
    </w:p>
    <w:p w14:paraId="421BFB2E">
      <w:pPr>
        <w:pStyle w:val="59"/>
        <w:ind w:firstLine="420"/>
      </w:pPr>
      <w:r>
        <w:t>咖啡属植物(</w:t>
      </w:r>
      <w:r>
        <w:rPr>
          <w:i/>
          <w:iCs/>
        </w:rPr>
        <w:t>Coffea</w:t>
      </w:r>
      <w:r>
        <w:t>, 一般指栽培种)的果实和种子以及这些果实和种子制成的供人类消费的产品。</w:t>
      </w:r>
    </w:p>
    <w:p w14:paraId="467FE72E">
      <w:pPr>
        <w:pStyle w:val="182"/>
        <w:rPr>
          <w:rFonts w:ascii="Times New Roman"/>
        </w:rPr>
      </w:pPr>
      <w:r>
        <w:t>本条术语适用于以下产品：咖啡鲜果、干果、带种皮咖啡豆、生咖啡、抛光咖啡豆、脱咖啡因咖啡、焙炒咖啡豆、咖啡粉、咖啡提取液、速溶咖啡以及咖啡饮料。</w:t>
      </w:r>
    </w:p>
    <w:p w14:paraId="33D4B6E3">
      <w:pPr>
        <w:pStyle w:val="59"/>
        <w:ind w:firstLine="420"/>
      </w:pPr>
      <w:r>
        <w:rPr>
          <w:rFonts w:hint="eastAsia"/>
        </w:rPr>
        <w:t>[来源：GB/T 18007]</w:t>
      </w:r>
    </w:p>
    <w:p w14:paraId="027900E1">
      <w:pPr>
        <w:pStyle w:val="108"/>
        <w:spacing w:before="120" w:after="120"/>
        <w:rPr>
          <w:rFonts w:ascii="Times New Roman"/>
        </w:rPr>
      </w:pPr>
      <w:r>
        <w:rPr>
          <w:rFonts w:ascii="Times New Roman"/>
        </w:rPr>
        <w:t xml:space="preserve"> </w:t>
      </w:r>
      <w:r>
        <w:rPr>
          <w:rFonts w:ascii="Times New Roman"/>
        </w:rPr>
        <w:br w:type="textWrapping"/>
      </w:r>
      <w:r>
        <w:rPr>
          <w:rFonts w:hint="eastAsia" w:hAnsi="黑体"/>
        </w:rPr>
        <w:t xml:space="preserve"> </w:t>
      </w:r>
      <w:r>
        <w:rPr>
          <w:rFonts w:hAnsi="黑体"/>
        </w:rPr>
        <w:t xml:space="preserve">   </w:t>
      </w:r>
      <w:bookmarkStart w:id="57" w:name="_Toc200655821"/>
      <w:r>
        <w:rPr>
          <w:rFonts w:hAnsi="黑体"/>
        </w:rPr>
        <w:t>兴隆咖啡</w:t>
      </w:r>
      <w:r>
        <w:rPr>
          <w:rFonts w:ascii="Times New Roman"/>
        </w:rPr>
        <w:t xml:space="preserve"> </w:t>
      </w:r>
      <w:r>
        <w:rPr>
          <w:rFonts w:hint="eastAsia" w:ascii="Times New Roman"/>
        </w:rPr>
        <w:t xml:space="preserve"> </w:t>
      </w:r>
      <w:r>
        <w:rPr>
          <w:rFonts w:ascii="Times New Roman"/>
        </w:rPr>
        <w:t>Xinglong coffee</w:t>
      </w:r>
      <w:bookmarkEnd w:id="57"/>
    </w:p>
    <w:p w14:paraId="7723661E">
      <w:pPr>
        <w:pStyle w:val="59"/>
        <w:ind w:firstLine="420"/>
        <w:rPr>
          <w:rFonts w:ascii="Times New Roman" w:eastAsia="黑体"/>
        </w:rPr>
      </w:pPr>
      <w:r>
        <w:t>特指产于海南兴隆地区，具有独特风味、符合当地地理标志产品特征的咖啡品种。</w:t>
      </w:r>
    </w:p>
    <w:p w14:paraId="24117773">
      <w:pPr>
        <w:pStyle w:val="108"/>
        <w:spacing w:before="120" w:after="120"/>
        <w:rPr>
          <w:rFonts w:ascii="Times New Roman"/>
        </w:rPr>
      </w:pPr>
      <w:r>
        <w:rPr>
          <w:rFonts w:ascii="Times New Roman"/>
        </w:rPr>
        <w:t xml:space="preserve"> </w:t>
      </w:r>
      <w:r>
        <w:rPr>
          <w:rFonts w:ascii="Times New Roman"/>
        </w:rPr>
        <w:br w:type="textWrapping"/>
      </w:r>
      <w:r>
        <w:rPr>
          <w:rFonts w:hint="eastAsia" w:hAnsi="黑体"/>
        </w:rPr>
        <w:t xml:space="preserve"> </w:t>
      </w:r>
      <w:r>
        <w:rPr>
          <w:rFonts w:hAnsi="黑体"/>
        </w:rPr>
        <w:t xml:space="preserve">   </w:t>
      </w:r>
      <w:bookmarkStart w:id="58" w:name="_Toc200655822"/>
      <w:r>
        <w:rPr>
          <w:rFonts w:hAnsi="黑体"/>
        </w:rPr>
        <w:t>咖啡鲜果</w:t>
      </w:r>
      <w:r>
        <w:rPr>
          <w:rFonts w:hint="eastAsia" w:hAnsi="黑体"/>
        </w:rPr>
        <w:t xml:space="preserve">  </w:t>
      </w:r>
      <w:r>
        <w:rPr>
          <w:rFonts w:ascii="Times New Roman"/>
        </w:rPr>
        <w:t>cherry coffee</w:t>
      </w:r>
      <w:bookmarkEnd w:id="58"/>
    </w:p>
    <w:p w14:paraId="4D204C92">
      <w:pPr>
        <w:pStyle w:val="59"/>
        <w:ind w:firstLine="420"/>
        <w:rPr>
          <w:rFonts w:ascii="Times New Roman" w:eastAsia="黑体"/>
        </w:rPr>
      </w:pPr>
      <w:r>
        <w:t>收获后未经干燥的咖啡果。</w:t>
      </w:r>
    </w:p>
    <w:p w14:paraId="6B26560D">
      <w:pPr>
        <w:pStyle w:val="108"/>
        <w:spacing w:before="120" w:after="120"/>
        <w:rPr>
          <w:rFonts w:ascii="Times New Roman"/>
        </w:rPr>
      </w:pPr>
      <w:r>
        <w:rPr>
          <w:rFonts w:ascii="Times New Roman"/>
        </w:rPr>
        <w:br w:type="textWrapping"/>
      </w:r>
      <w:r>
        <w:rPr>
          <w:rFonts w:hint="eastAsia" w:hAnsi="黑体"/>
        </w:rPr>
        <w:t xml:space="preserve"> </w:t>
      </w:r>
      <w:r>
        <w:rPr>
          <w:rFonts w:hAnsi="黑体"/>
        </w:rPr>
        <w:t xml:space="preserve">   </w:t>
      </w:r>
      <w:bookmarkStart w:id="59" w:name="_Toc200655823"/>
      <w:r>
        <w:rPr>
          <w:rFonts w:hAnsi="黑体"/>
        </w:rPr>
        <w:t>职业道德</w:t>
      </w:r>
      <w:r>
        <w:rPr>
          <w:rFonts w:hint="eastAsia" w:hAnsi="黑体"/>
        </w:rPr>
        <w:t xml:space="preserve">  </w:t>
      </w:r>
      <w:r>
        <w:rPr>
          <w:rFonts w:ascii="Times New Roman"/>
        </w:rPr>
        <w:t>professional ethics</w:t>
      </w:r>
      <w:bookmarkEnd w:id="59"/>
      <w:r>
        <w:rPr>
          <w:rFonts w:ascii="Times New Roman"/>
        </w:rPr>
        <w:t xml:space="preserve"> </w:t>
      </w:r>
    </w:p>
    <w:p w14:paraId="38C028D5">
      <w:pPr>
        <w:pStyle w:val="59"/>
        <w:ind w:firstLine="420"/>
        <w:rPr>
          <w:rFonts w:ascii="Times New Roman" w:eastAsia="黑体"/>
        </w:rPr>
      </w:pPr>
      <w:r>
        <w:t>咖啡采摘人员在职业活动中应遵循的行为规范，包括诚实守信、爱岗敬业、团结协作等。</w:t>
      </w:r>
    </w:p>
    <w:p w14:paraId="3EEB53D0">
      <w:pPr>
        <w:pStyle w:val="108"/>
        <w:spacing w:before="120" w:after="120"/>
        <w:rPr>
          <w:rFonts w:ascii="Times New Roman"/>
        </w:rPr>
      </w:pPr>
      <w:r>
        <w:rPr>
          <w:rFonts w:ascii="Times New Roman"/>
        </w:rPr>
        <w:t xml:space="preserve"> </w:t>
      </w:r>
      <w:bookmarkStart w:id="60" w:name="_Toc200655824"/>
      <w:bookmarkEnd w:id="60"/>
    </w:p>
    <w:p w14:paraId="64FB23A2">
      <w:pPr>
        <w:widowControl/>
        <w:ind w:firstLine="420" w:firstLineChars="200"/>
        <w:jc w:val="left"/>
        <w:rPr>
          <w:rFonts w:ascii="Times New Roman" w:hAnsi="Times New Roman" w:eastAsia="黑体"/>
        </w:rPr>
      </w:pPr>
      <w:r>
        <w:rPr>
          <w:rFonts w:ascii="黑体" w:hAnsi="黑体" w:eastAsia="黑体"/>
        </w:rPr>
        <w:t>安全意识</w:t>
      </w:r>
      <w:r>
        <w:rPr>
          <w:rFonts w:hint="eastAsia" w:ascii="Times New Roman" w:hAnsi="Times New Roman" w:eastAsia="黑体"/>
        </w:rPr>
        <w:t xml:space="preserve">  </w:t>
      </w:r>
      <w:r>
        <w:rPr>
          <w:rFonts w:ascii="Times New Roman" w:hAnsi="Times New Roman" w:eastAsia="黑体"/>
        </w:rPr>
        <w:t xml:space="preserve">safety awareness </w:t>
      </w:r>
    </w:p>
    <w:p w14:paraId="1192EC39">
      <w:pPr>
        <w:pStyle w:val="59"/>
        <w:ind w:firstLine="420"/>
        <w:rPr>
          <w:rFonts w:ascii="Times New Roman" w:eastAsia="黑体"/>
        </w:rPr>
      </w:pPr>
      <w:r>
        <w:t>咖啡采摘人员在工作中对潜在危险的认知和防范意识，以及应对突发事件的能力。</w:t>
      </w:r>
    </w:p>
    <w:p w14:paraId="4C7D0F89">
      <w:pPr>
        <w:pStyle w:val="226"/>
        <w:ind w:left="420" w:hanging="420" w:hangingChars="200"/>
        <w:rPr>
          <w:rFonts w:hint="eastAsia" w:ascii="黑体" w:hAnsi="黑体" w:eastAsia="黑体"/>
        </w:rPr>
      </w:pPr>
      <w:r>
        <w:rPr>
          <w:rFonts w:ascii="黑体" w:hAnsi="黑体" w:eastAsia="黑体"/>
        </w:rPr>
        <w:t xml:space="preserve"> </w:t>
      </w:r>
      <w:r>
        <w:rPr>
          <w:rFonts w:ascii="黑体" w:hAnsi="黑体" w:eastAsia="黑体"/>
        </w:rPr>
        <w:br w:type="textWrapping"/>
      </w:r>
      <w:bookmarkStart w:id="61" w:name="_Toc200655825"/>
      <w:r>
        <w:rPr>
          <w:rFonts w:ascii="黑体" w:hAnsi="黑体" w:eastAsia="黑体"/>
        </w:rPr>
        <w:t>能力评定</w:t>
      </w:r>
      <w:r>
        <w:rPr>
          <w:rFonts w:hint="eastAsia" w:ascii="黑体" w:hAnsi="黑体" w:eastAsia="黑体"/>
        </w:rPr>
        <w:t xml:space="preserve">  </w:t>
      </w:r>
      <w:r>
        <w:rPr>
          <w:rFonts w:ascii="Times New Roman" w:eastAsia="黑体"/>
          <w:kern w:val="2"/>
          <w:szCs w:val="21"/>
        </w:rPr>
        <w:t>ability assessment</w:t>
      </w:r>
      <w:bookmarkEnd w:id="61"/>
    </w:p>
    <w:p w14:paraId="74C9E9E3">
      <w:pPr>
        <w:pStyle w:val="59"/>
        <w:ind w:firstLine="420"/>
        <w:rPr>
          <w:rFonts w:ascii="Times New Roman" w:eastAsia="黑体"/>
        </w:rPr>
      </w:pPr>
      <w:r>
        <w:t>依据本文件，对种植类人员（采摘）的知识、技能和素质进行考核评价，并确定其能力等级的活动。</w:t>
      </w:r>
    </w:p>
    <w:p w14:paraId="011E919F">
      <w:pPr>
        <w:pStyle w:val="226"/>
        <w:ind w:left="420" w:hanging="420" w:hangingChars="200"/>
        <w:rPr>
          <w:rFonts w:hint="eastAsia" w:ascii="黑体" w:hAnsi="黑体" w:eastAsia="黑体"/>
        </w:rPr>
      </w:pPr>
      <w:r>
        <w:rPr>
          <w:rFonts w:ascii="黑体" w:hAnsi="黑体" w:eastAsia="黑体"/>
        </w:rPr>
        <w:t xml:space="preserve"> </w:t>
      </w:r>
      <w:r>
        <w:rPr>
          <w:rFonts w:ascii="黑体" w:hAnsi="黑体" w:eastAsia="黑体"/>
        </w:rPr>
        <w:br w:type="textWrapping"/>
      </w:r>
      <w:bookmarkStart w:id="62" w:name="_Toc200655826"/>
      <w:r>
        <w:rPr>
          <w:rFonts w:ascii="黑体" w:hAnsi="黑体" w:eastAsia="黑体"/>
        </w:rPr>
        <w:t>兴隆咖啡师劳务品牌</w:t>
      </w:r>
      <w:r>
        <w:rPr>
          <w:rFonts w:hint="eastAsia" w:ascii="黑体" w:hAnsi="黑体" w:eastAsia="黑体"/>
        </w:rPr>
        <w:t xml:space="preserve">  </w:t>
      </w:r>
      <w:r>
        <w:rPr>
          <w:rFonts w:ascii="Times New Roman" w:eastAsia="黑体"/>
        </w:rPr>
        <w:t>labor service brand of Xinglong coffee baristas</w:t>
      </w:r>
      <w:bookmarkEnd w:id="62"/>
      <w:bookmarkStart w:id="63" w:name="_Toc198559295"/>
    </w:p>
    <w:p w14:paraId="0CC52076">
      <w:pPr>
        <w:pStyle w:val="59"/>
        <w:ind w:firstLine="420"/>
      </w:pPr>
      <w:r>
        <w:rPr>
          <w:rFonts w:hint="eastAsia"/>
        </w:rPr>
        <w:t>依据兴隆咖啡师</w:t>
      </w:r>
      <w:r>
        <w:t>劳务品牌</w:t>
      </w:r>
      <w:r>
        <w:rPr>
          <w:rFonts w:hint="eastAsia"/>
        </w:rPr>
        <w:t>系列标准</w:t>
      </w:r>
      <w:r>
        <w:t>，具有特定质量标准和信誉保障的兴隆咖啡种植、加工、销售等环节的劳务服务品牌。</w:t>
      </w:r>
    </w:p>
    <w:p w14:paraId="017AFBFB">
      <w:pPr>
        <w:pStyle w:val="107"/>
        <w:spacing w:before="240" w:after="240"/>
      </w:pPr>
      <w:bookmarkStart w:id="64" w:name="_Toc200655827"/>
      <w:r>
        <w:t>评定原则</w:t>
      </w:r>
      <w:bookmarkEnd w:id="63"/>
      <w:bookmarkEnd w:id="64"/>
    </w:p>
    <w:p w14:paraId="66217222">
      <w:pPr>
        <w:pStyle w:val="165"/>
        <w:rPr>
          <w:shd w:val="clear" w:color="auto" w:fill="FFFFFF"/>
        </w:rPr>
      </w:pPr>
      <w:bookmarkStart w:id="65" w:name="_Toc198559296"/>
      <w:r>
        <w:rPr>
          <w:shd w:val="clear" w:color="auto" w:fill="FFFFFF"/>
        </w:rPr>
        <w:t>客观公正</w:t>
      </w:r>
      <w:bookmarkEnd w:id="65"/>
      <w:r>
        <w:rPr>
          <w:rFonts w:hint="eastAsia"/>
          <w:shd w:val="clear" w:color="auto" w:fill="FFFFFF"/>
        </w:rPr>
        <w:t>。</w:t>
      </w:r>
      <w:r>
        <w:rPr>
          <w:shd w:val="clear" w:color="auto" w:fill="FFFFFF"/>
        </w:rPr>
        <w:t>评定过程公开透明，严格依据标准执行，杜绝人情干扰，确保结果真实可靠。建立申诉机制和第三方复核制度，保障公平性</w:t>
      </w:r>
      <w:r>
        <w:rPr>
          <w:rFonts w:hint="eastAsia"/>
          <w:shd w:val="clear" w:color="auto" w:fill="FFFFFF"/>
        </w:rPr>
        <w:t>。</w:t>
      </w:r>
    </w:p>
    <w:p w14:paraId="2C246F6A">
      <w:pPr>
        <w:pStyle w:val="165"/>
        <w:rPr>
          <w:shd w:val="clear" w:color="auto" w:fill="FFFFFF"/>
        </w:rPr>
      </w:pPr>
      <w:bookmarkStart w:id="66" w:name="_Toc198559297"/>
      <w:r>
        <w:rPr>
          <w:shd w:val="clear" w:color="auto" w:fill="FFFFFF"/>
        </w:rPr>
        <w:t>科学规范</w:t>
      </w:r>
      <w:bookmarkEnd w:id="66"/>
      <w:r>
        <w:rPr>
          <w:rFonts w:hint="eastAsia"/>
          <w:shd w:val="clear" w:color="auto" w:fill="FFFFFF"/>
        </w:rPr>
        <w:t>。</w:t>
      </w:r>
      <w:r>
        <w:rPr>
          <w:shd w:val="clear" w:color="auto" w:fill="FFFFFF"/>
        </w:rPr>
        <w:t>评定内容、方法和标准应科学合理，采用量化指标和现代技术手段，综合考量知识、技能等多维因素</w:t>
      </w:r>
      <w:r>
        <w:rPr>
          <w:rFonts w:hint="eastAsia"/>
          <w:shd w:val="clear" w:color="auto" w:fill="FFFFFF"/>
        </w:rPr>
        <w:t>。</w:t>
      </w:r>
    </w:p>
    <w:p w14:paraId="0CD2EFCE">
      <w:pPr>
        <w:pStyle w:val="165"/>
        <w:rPr>
          <w:shd w:val="clear" w:color="auto" w:fill="FFFFFF"/>
        </w:rPr>
      </w:pPr>
      <w:bookmarkStart w:id="67" w:name="_Toc198559298"/>
      <w:r>
        <w:rPr>
          <w:shd w:val="clear" w:color="auto" w:fill="FFFFFF"/>
        </w:rPr>
        <w:t>注重实效</w:t>
      </w:r>
      <w:bookmarkEnd w:id="67"/>
      <w:r>
        <w:rPr>
          <w:rFonts w:hint="eastAsia"/>
          <w:shd w:val="clear" w:color="auto" w:fill="FFFFFF"/>
        </w:rPr>
        <w:t>。</w:t>
      </w:r>
      <w:r>
        <w:rPr>
          <w:shd w:val="clear" w:color="auto" w:fill="FFFFFF"/>
        </w:rPr>
        <w:t>评定结果需与实际工作表现挂钩，作为培训、晋升的重要依据，建立反馈机制帮助人员改进提升。</w:t>
      </w:r>
    </w:p>
    <w:p w14:paraId="13467174">
      <w:pPr>
        <w:pStyle w:val="165"/>
        <w:rPr>
          <w:shd w:val="clear" w:color="auto" w:fill="FFFFFF"/>
        </w:rPr>
      </w:pPr>
      <w:bookmarkStart w:id="68" w:name="_Toc198559299"/>
      <w:r>
        <w:rPr>
          <w:shd w:val="clear" w:color="auto" w:fill="FFFFFF"/>
        </w:rPr>
        <w:t>动态发展</w:t>
      </w:r>
      <w:bookmarkEnd w:id="68"/>
      <w:r>
        <w:rPr>
          <w:rFonts w:hint="eastAsia"/>
          <w:shd w:val="clear" w:color="auto" w:fill="FFFFFF"/>
        </w:rPr>
        <w:t>。</w:t>
      </w:r>
      <w:r>
        <w:rPr>
          <w:shd w:val="clear" w:color="auto" w:fill="FFFFFF"/>
        </w:rPr>
        <w:t>定期修订评定标准，保持与行业技术进步和市场需求的同步，建立专家委员会确保前瞻性。</w:t>
      </w:r>
    </w:p>
    <w:p w14:paraId="107B2AC9">
      <w:pPr>
        <w:pStyle w:val="165"/>
        <w:rPr>
          <w:shd w:val="clear" w:color="auto" w:fill="FFFFFF"/>
        </w:rPr>
      </w:pPr>
      <w:bookmarkStart w:id="69" w:name="_Toc198559300"/>
      <w:r>
        <w:rPr>
          <w:shd w:val="clear" w:color="auto" w:fill="FFFFFF"/>
        </w:rPr>
        <w:t>持续改进</w:t>
      </w:r>
      <w:bookmarkEnd w:id="69"/>
      <w:r>
        <w:rPr>
          <w:rFonts w:hint="eastAsia"/>
          <w:shd w:val="clear" w:color="auto" w:fill="FFFFFF"/>
        </w:rPr>
        <w:t>。</w:t>
      </w:r>
      <w:r>
        <w:rPr>
          <w:shd w:val="clear" w:color="auto" w:fill="FFFFFF"/>
        </w:rPr>
        <w:t>定期评估评定体系，优化流程和标准，鼓励多方参与改进</w:t>
      </w:r>
      <w:r>
        <w:rPr>
          <w:rFonts w:hint="eastAsia"/>
          <w:shd w:val="clear" w:color="auto" w:fill="FFFFFF"/>
        </w:rPr>
        <w:t>；</w:t>
      </w:r>
      <w:r>
        <w:rPr>
          <w:shd w:val="clear" w:color="auto" w:fill="FFFFFF"/>
        </w:rPr>
        <w:t>公平竞争。确保所有人员在同等条件下竞争，杜绝歧视，加强过程监督</w:t>
      </w:r>
      <w:r>
        <w:rPr>
          <w:rFonts w:hint="eastAsia"/>
          <w:shd w:val="clear" w:color="auto" w:fill="FFFFFF"/>
        </w:rPr>
        <w:t>；</w:t>
      </w:r>
      <w:r>
        <w:rPr>
          <w:shd w:val="clear" w:color="auto" w:fill="FFFFFF"/>
        </w:rPr>
        <w:t>透明公开。</w:t>
      </w:r>
    </w:p>
    <w:p w14:paraId="60252AF9">
      <w:pPr>
        <w:pStyle w:val="165"/>
        <w:rPr>
          <w:shd w:val="clear" w:color="auto" w:fill="FFFFFF"/>
        </w:rPr>
      </w:pPr>
      <w:bookmarkStart w:id="70" w:name="_Toc198559301"/>
      <w:r>
        <w:rPr>
          <w:shd w:val="clear" w:color="auto" w:fill="FFFFFF"/>
        </w:rPr>
        <w:t>公平竞争</w:t>
      </w:r>
      <w:bookmarkEnd w:id="70"/>
      <w:r>
        <w:rPr>
          <w:rFonts w:hint="eastAsia"/>
          <w:shd w:val="clear" w:color="auto" w:fill="FFFFFF"/>
        </w:rPr>
        <w:t>。</w:t>
      </w:r>
      <w:r>
        <w:rPr>
          <w:shd w:val="clear" w:color="auto" w:fill="FFFFFF"/>
        </w:rPr>
        <w:t>确保所有人员在同等条件下竞争，杜绝歧视，加强过程监督。</w:t>
      </w:r>
    </w:p>
    <w:p w14:paraId="0CEE7704">
      <w:pPr>
        <w:pStyle w:val="165"/>
        <w:rPr>
          <w:shd w:val="clear" w:color="auto" w:fill="FFFFFF"/>
        </w:rPr>
      </w:pPr>
      <w:bookmarkStart w:id="71" w:name="_Toc198559302"/>
      <w:r>
        <w:rPr>
          <w:shd w:val="clear" w:color="auto" w:fill="FFFFFF"/>
        </w:rPr>
        <w:t>透明公开</w:t>
      </w:r>
      <w:bookmarkEnd w:id="71"/>
      <w:r>
        <w:rPr>
          <w:rFonts w:hint="eastAsia"/>
          <w:shd w:val="clear" w:color="auto" w:fill="FFFFFF"/>
        </w:rPr>
        <w:t>。</w:t>
      </w:r>
      <w:r>
        <w:rPr>
          <w:shd w:val="clear" w:color="auto" w:fill="FFFFFF"/>
        </w:rPr>
        <w:t>公开标准、流程和结果，建立信息平台接受社会监督。</w:t>
      </w:r>
    </w:p>
    <w:p w14:paraId="33587ECA">
      <w:pPr>
        <w:pStyle w:val="165"/>
        <w:rPr>
          <w:shd w:val="clear" w:color="auto" w:fill="FFFFFF"/>
        </w:rPr>
      </w:pPr>
      <w:bookmarkStart w:id="72" w:name="_Toc198559303"/>
      <w:r>
        <w:rPr>
          <w:shd w:val="clear" w:color="auto" w:fill="FFFFFF"/>
        </w:rPr>
        <w:t>激励与约束并重</w:t>
      </w:r>
      <w:bookmarkEnd w:id="72"/>
      <w:r>
        <w:rPr>
          <w:rFonts w:hint="eastAsia"/>
          <w:shd w:val="clear" w:color="auto" w:fill="FFFFFF"/>
        </w:rPr>
        <w:t>。</w:t>
      </w:r>
      <w:r>
        <w:rPr>
          <w:shd w:val="clear" w:color="auto" w:fill="FFFFFF"/>
        </w:rPr>
        <w:t>对优秀人员给予奖励，对不足者提供培训，对长期不达标者采取约束措施。</w:t>
      </w:r>
      <w:r>
        <w:rPr>
          <w:rFonts w:hint="eastAsia"/>
          <w:shd w:val="clear" w:color="auto" w:fill="FFFFFF"/>
        </w:rPr>
        <w:t>同时要求参评人员爱国爱党、遵纪守法、爱岗敬业。通过以上原则构建权威、科学的评定体系，促进产业人才队伍建设和可持续发展</w:t>
      </w:r>
      <w:r>
        <w:rPr>
          <w:shd w:val="clear" w:color="auto" w:fill="FFFFFF"/>
        </w:rPr>
        <w:t>。</w:t>
      </w:r>
    </w:p>
    <w:p w14:paraId="6504D6E9">
      <w:pPr>
        <w:pStyle w:val="107"/>
        <w:spacing w:before="240" w:after="240"/>
      </w:pPr>
      <w:bookmarkStart w:id="73" w:name="_Toc200655828"/>
      <w:bookmarkStart w:id="74" w:name="_Toc198559304"/>
      <w:r>
        <w:t>评定机构</w:t>
      </w:r>
      <w:bookmarkEnd w:id="73"/>
      <w:bookmarkEnd w:id="74"/>
    </w:p>
    <w:p w14:paraId="05B58616">
      <w:pPr>
        <w:pStyle w:val="108"/>
        <w:spacing w:before="120" w:after="120"/>
      </w:pPr>
      <w:bookmarkStart w:id="75" w:name="_Toc200655829"/>
      <w:bookmarkStart w:id="76" w:name="_Toc198559305"/>
      <w:r>
        <w:t>资质要求</w:t>
      </w:r>
      <w:bookmarkEnd w:id="75"/>
      <w:bookmarkEnd w:id="76"/>
    </w:p>
    <w:p w14:paraId="1FE59A83">
      <w:pPr>
        <w:pStyle w:val="59"/>
        <w:ind w:firstLine="420"/>
      </w:pPr>
      <w:r>
        <w:t>评定机构应由具备相关农业技术评估、劳务人员技能鉴定资质的专业机构承担，且需满足以下条件：</w:t>
      </w:r>
    </w:p>
    <w:p w14:paraId="466566FC">
      <w:pPr>
        <w:pStyle w:val="135"/>
      </w:pPr>
      <w:r>
        <w:t>机构资质：评定机构应具有国家或行业认可的农业技术评估、劳务人员技能鉴定资质，且在有效期内</w:t>
      </w:r>
      <w:r>
        <w:rPr>
          <w:rFonts w:hint="eastAsia"/>
        </w:rPr>
        <w:t>；</w:t>
      </w:r>
    </w:p>
    <w:p w14:paraId="3B2CB1C1">
      <w:pPr>
        <w:pStyle w:val="135"/>
      </w:pPr>
      <w:r>
        <w:t>专业人员配置：评定机构应至少配备5名从事咖啡种植或农产品质量检测等相关专业、中级及以上职称的技术人员，且这些人员需具备丰富的实践经验和专业知识</w:t>
      </w:r>
      <w:r>
        <w:rPr>
          <w:rFonts w:hint="eastAsia"/>
        </w:rPr>
        <w:t>；</w:t>
      </w:r>
    </w:p>
    <w:p w14:paraId="3CAC1BA5">
      <w:pPr>
        <w:pStyle w:val="135"/>
      </w:pPr>
      <w:r>
        <w:t>设备与设施：评定机构应具备与评定工作相关的设备、工具和场地，确保评定过程的科学性和规范性</w:t>
      </w:r>
      <w:r>
        <w:rPr>
          <w:rFonts w:hint="eastAsia"/>
        </w:rPr>
        <w:t>；</w:t>
      </w:r>
    </w:p>
    <w:p w14:paraId="31AD5D50">
      <w:pPr>
        <w:pStyle w:val="135"/>
      </w:pPr>
      <w:r>
        <w:t>管理体系：评定机构应建立完善的质量管理体系，确保评定过程的公正性、透明性和可追溯性</w:t>
      </w:r>
      <w:r>
        <w:rPr>
          <w:rFonts w:hint="eastAsia"/>
        </w:rPr>
        <w:t>；</w:t>
      </w:r>
    </w:p>
    <w:p w14:paraId="62E18DC4">
      <w:pPr>
        <w:pStyle w:val="135"/>
      </w:pPr>
      <w:r>
        <w:t>行业认可：评定机构应在兴隆咖啡产业领域具有一定的行业影响力和公信力，应获得行业主管部门、企业和从业人员的认可。</w:t>
      </w:r>
    </w:p>
    <w:p w14:paraId="020891E4">
      <w:pPr>
        <w:pStyle w:val="108"/>
        <w:spacing w:before="120" w:after="120"/>
      </w:pPr>
      <w:bookmarkStart w:id="77" w:name="_Toc198559306"/>
      <w:bookmarkStart w:id="78" w:name="_Toc200655830"/>
      <w:r>
        <w:t>职责</w:t>
      </w:r>
      <w:bookmarkEnd w:id="77"/>
      <w:bookmarkEnd w:id="78"/>
    </w:p>
    <w:p w14:paraId="1DD18AB5">
      <w:pPr>
        <w:pStyle w:val="68"/>
        <w:spacing w:before="120" w:after="120"/>
      </w:pPr>
      <w:bookmarkStart w:id="79" w:name="_Toc198559307"/>
      <w:r>
        <w:t>制定评定计划</w:t>
      </w:r>
      <w:bookmarkEnd w:id="79"/>
    </w:p>
    <w:p w14:paraId="0AC3020C">
      <w:pPr>
        <w:pStyle w:val="59"/>
        <w:ind w:firstLine="420"/>
      </w:pPr>
      <w:r>
        <w:t>根据兴隆咖啡产业发展需求和行业标准，制定科学合理的评定计划，明确评定目标、内容、方法和时间安排。</w:t>
      </w:r>
    </w:p>
    <w:p w14:paraId="76324AFE">
      <w:pPr>
        <w:pStyle w:val="68"/>
        <w:spacing w:before="120" w:after="120"/>
      </w:pPr>
      <w:bookmarkStart w:id="80" w:name="_Toc198559308"/>
      <w:r>
        <w:t>组织实施评定</w:t>
      </w:r>
      <w:bookmarkEnd w:id="80"/>
    </w:p>
    <w:p w14:paraId="0273DACD">
      <w:pPr>
        <w:pStyle w:val="59"/>
        <w:ind w:firstLine="420"/>
      </w:pPr>
      <w:r>
        <w:t>严格按照评定标准和程序，组织评定工作，确保评定过程的规范性和公正性。包括但不限于：</w:t>
      </w:r>
    </w:p>
    <w:p w14:paraId="319DACEF">
      <w:pPr>
        <w:pStyle w:val="135"/>
      </w:pPr>
      <w:r>
        <w:t>组织参评人员报名及资格审查；</w:t>
      </w:r>
    </w:p>
    <w:p w14:paraId="09002B17">
      <w:pPr>
        <w:pStyle w:val="135"/>
      </w:pPr>
      <w:r>
        <w:t>安排评定场地、设备和工具；</w:t>
      </w:r>
    </w:p>
    <w:p w14:paraId="6681C8CD">
      <w:pPr>
        <w:pStyle w:val="135"/>
      </w:pPr>
      <w:r>
        <w:t>组织评定专家开展评定工作；</w:t>
      </w:r>
    </w:p>
    <w:p w14:paraId="1C014A33">
      <w:pPr>
        <w:pStyle w:val="135"/>
      </w:pPr>
      <w:r>
        <w:t>监督评定过程，确保评定结果的真实性和可靠性。</w:t>
      </w:r>
    </w:p>
    <w:p w14:paraId="78884550">
      <w:pPr>
        <w:pStyle w:val="68"/>
        <w:spacing w:before="120" w:after="120"/>
      </w:pPr>
      <w:bookmarkStart w:id="81" w:name="_Toc198559309"/>
      <w:r>
        <w:t>出具评定报告</w:t>
      </w:r>
      <w:bookmarkEnd w:id="81"/>
    </w:p>
    <w:p w14:paraId="1ED81682">
      <w:pPr>
        <w:pStyle w:val="59"/>
        <w:ind w:firstLine="420"/>
      </w:pPr>
      <w:r>
        <w:t>评定结束后，评定机构应根据评定结果出具详细的评定报告，内容包括：</w:t>
      </w:r>
    </w:p>
    <w:p w14:paraId="62E44A39">
      <w:pPr>
        <w:pStyle w:val="135"/>
      </w:pPr>
      <w:r>
        <w:t>参评人员的基本信息；</w:t>
      </w:r>
    </w:p>
    <w:p w14:paraId="6B00541B">
      <w:pPr>
        <w:pStyle w:val="135"/>
      </w:pPr>
      <w:r>
        <w:t>评定过程概述；</w:t>
      </w:r>
    </w:p>
    <w:p w14:paraId="06A78321">
      <w:pPr>
        <w:pStyle w:val="135"/>
      </w:pPr>
      <w:r>
        <w:t>评定结果及分析；</w:t>
      </w:r>
    </w:p>
    <w:p w14:paraId="635E2B14">
      <w:pPr>
        <w:pStyle w:val="135"/>
      </w:pPr>
      <w:r>
        <w:t>评定结论及建议。</w:t>
      </w:r>
    </w:p>
    <w:p w14:paraId="2EA790E8">
      <w:pPr>
        <w:pStyle w:val="68"/>
        <w:spacing w:before="120" w:after="120"/>
      </w:pPr>
      <w:bookmarkStart w:id="82" w:name="_Toc198559310"/>
      <w:r>
        <w:t>对评定结果负责</w:t>
      </w:r>
      <w:bookmarkEnd w:id="82"/>
    </w:p>
    <w:p w14:paraId="6D6EEAAC">
      <w:pPr>
        <w:pStyle w:val="59"/>
        <w:ind w:firstLine="420"/>
      </w:pPr>
      <w:r>
        <w:t>评定机构应对评定结果的真实性、准确性和公正性负责，确保评定结果应真实反映参评人员的实际能力水平。</w:t>
      </w:r>
    </w:p>
    <w:p w14:paraId="532DB2E2">
      <w:pPr>
        <w:pStyle w:val="68"/>
        <w:spacing w:before="120" w:after="120"/>
      </w:pPr>
      <w:bookmarkStart w:id="83" w:name="_Toc198559311"/>
      <w:r>
        <w:t>定期报备</w:t>
      </w:r>
      <w:bookmarkEnd w:id="83"/>
    </w:p>
    <w:p w14:paraId="1B345F3F">
      <w:pPr>
        <w:pStyle w:val="59"/>
        <w:ind w:firstLine="420"/>
      </w:pPr>
      <w:r>
        <w:t>评定机构应定期向行业主管部门报备评定情况，包括评定计划、评定结果、评定报告及相关统计数据，接受行业主管部门的监督和指导。</w:t>
      </w:r>
    </w:p>
    <w:p w14:paraId="4336B0E1">
      <w:pPr>
        <w:pStyle w:val="68"/>
        <w:spacing w:before="120" w:after="120"/>
      </w:pPr>
      <w:bookmarkStart w:id="84" w:name="_Toc198559312"/>
      <w:r>
        <w:t>持续改进</w:t>
      </w:r>
      <w:bookmarkEnd w:id="84"/>
    </w:p>
    <w:p w14:paraId="242C7C09">
      <w:pPr>
        <w:pStyle w:val="59"/>
        <w:ind w:firstLine="420"/>
      </w:pPr>
      <w:r>
        <w:t>评定机构应根据行业发展和评定实践，不断优化评定标准、流程和方法，提升评定工作的科学性和实效性。</w:t>
      </w:r>
    </w:p>
    <w:p w14:paraId="599F2602">
      <w:pPr>
        <w:pStyle w:val="68"/>
        <w:spacing w:before="120" w:after="120"/>
      </w:pPr>
      <w:bookmarkStart w:id="85" w:name="_Toc198559313"/>
      <w:r>
        <w:t>培训与指导</w:t>
      </w:r>
      <w:bookmarkEnd w:id="85"/>
    </w:p>
    <w:p w14:paraId="4981F22B">
      <w:pPr>
        <w:pStyle w:val="59"/>
        <w:ind w:firstLine="420"/>
      </w:pPr>
      <w:r>
        <w:t>评定机构应为参评人员提供必要的培训和指导，帮助其了解评定标准和要求，提升自身能力水平。</w:t>
      </w:r>
    </w:p>
    <w:p w14:paraId="1934347D">
      <w:pPr>
        <w:pStyle w:val="68"/>
        <w:spacing w:before="120" w:after="120"/>
      </w:pPr>
      <w:bookmarkStart w:id="86" w:name="_Toc198559314"/>
      <w:r>
        <w:t>申诉处理</w:t>
      </w:r>
      <w:bookmarkEnd w:id="86"/>
    </w:p>
    <w:p w14:paraId="02CE6339">
      <w:pPr>
        <w:pStyle w:val="59"/>
        <w:ind w:firstLine="420"/>
      </w:pPr>
      <w:r>
        <w:t>评定机构应建立申诉处理机制，接受参评人员对评定结果的异议，并组织复核，确保评定结果的公平性和公正性。</w:t>
      </w:r>
    </w:p>
    <w:p w14:paraId="42C143F2">
      <w:pPr>
        <w:pStyle w:val="107"/>
        <w:spacing w:before="240" w:after="240"/>
      </w:pPr>
      <w:bookmarkStart w:id="87" w:name="_Toc198559315"/>
      <w:bookmarkStart w:id="88" w:name="_Toc200655831"/>
      <w:r>
        <w:t>评定方法</w:t>
      </w:r>
      <w:bookmarkEnd w:id="87"/>
      <w:bookmarkEnd w:id="88"/>
    </w:p>
    <w:p w14:paraId="0B586446">
      <w:pPr>
        <w:pStyle w:val="108"/>
        <w:spacing w:before="120" w:after="120"/>
      </w:pPr>
      <w:bookmarkStart w:id="89" w:name="_Toc198559316"/>
      <w:bookmarkStart w:id="90" w:name="_Toc200655832"/>
      <w:r>
        <w:t>理论考试</w:t>
      </w:r>
      <w:bookmarkEnd w:id="89"/>
      <w:bookmarkEnd w:id="90"/>
    </w:p>
    <w:p w14:paraId="590B953D">
      <w:pPr>
        <w:pStyle w:val="68"/>
        <w:spacing w:before="120" w:after="120"/>
      </w:pPr>
      <w:bookmarkStart w:id="91" w:name="_Toc198559317"/>
      <w:r>
        <w:t>考试内容</w:t>
      </w:r>
      <w:bookmarkEnd w:id="91"/>
    </w:p>
    <w:p w14:paraId="2C692DC3">
      <w:pPr>
        <w:pStyle w:val="59"/>
        <w:ind w:firstLine="420"/>
      </w:pPr>
      <w:r>
        <w:t>涵盖</w:t>
      </w:r>
      <w:r>
        <w:rPr>
          <w:rFonts w:hint="eastAsia"/>
        </w:rPr>
        <w:t>附录A</w:t>
      </w:r>
      <w:r>
        <w:t>.1规定的全部内容，包括但不限于咖啡种植基础知识、采摘技术、病虫害防治、安全生产规范等。</w:t>
      </w:r>
    </w:p>
    <w:p w14:paraId="5A0D5B32">
      <w:pPr>
        <w:pStyle w:val="68"/>
        <w:spacing w:before="120" w:after="120"/>
      </w:pPr>
      <w:bookmarkStart w:id="92" w:name="_Toc198559318"/>
      <w:r>
        <w:t>考试形式</w:t>
      </w:r>
      <w:r>
        <w:rPr>
          <w:rFonts w:hint="eastAsia"/>
        </w:rPr>
        <w:t>及题型</w:t>
      </w:r>
      <w:bookmarkEnd w:id="92"/>
    </w:p>
    <w:p w14:paraId="4D706055">
      <w:pPr>
        <w:pStyle w:val="59"/>
        <w:ind w:firstLine="420"/>
      </w:pPr>
      <w:r>
        <w:t>闭卷笔试，题型包括选择题、判断题、简答题等。</w:t>
      </w:r>
    </w:p>
    <w:p w14:paraId="6B2C8E8B">
      <w:pPr>
        <w:pStyle w:val="182"/>
      </w:pPr>
      <w:r>
        <w:t>选择题和判断题主要考察基础知识的掌握情况，简答题则侧重于考察实际操作中的问题解决能力。</w:t>
      </w:r>
    </w:p>
    <w:p w14:paraId="27655964">
      <w:pPr>
        <w:pStyle w:val="68"/>
        <w:spacing w:before="120" w:after="120"/>
      </w:pPr>
      <w:bookmarkStart w:id="93" w:name="_Toc198559319"/>
      <w:r>
        <w:t>考试时间</w:t>
      </w:r>
      <w:bookmarkEnd w:id="93"/>
    </w:p>
    <w:p w14:paraId="76232492">
      <w:pPr>
        <w:pStyle w:val="59"/>
        <w:ind w:firstLine="420"/>
        <w:rPr>
          <w:strike/>
          <w:color w:val="EE0000"/>
        </w:rPr>
      </w:pPr>
      <w:r>
        <w:t>120</w:t>
      </w:r>
      <w:r>
        <w:rPr>
          <w:rFonts w:hint="eastAsia"/>
        </w:rPr>
        <w:t xml:space="preserve"> </w:t>
      </w:r>
      <w:r>
        <w:t>min。</w:t>
      </w:r>
    </w:p>
    <w:p w14:paraId="3D3EEDAD">
      <w:pPr>
        <w:pStyle w:val="68"/>
        <w:spacing w:before="120" w:after="120"/>
      </w:pPr>
      <w:bookmarkStart w:id="94" w:name="_Toc198559320"/>
      <w:r>
        <w:t>合格标准</w:t>
      </w:r>
      <w:bookmarkEnd w:id="94"/>
    </w:p>
    <w:p w14:paraId="3230CA69">
      <w:pPr>
        <w:pStyle w:val="59"/>
        <w:ind w:firstLine="420"/>
      </w:pPr>
      <w:r>
        <w:t>满分100分，60分合格。</w:t>
      </w:r>
    </w:p>
    <w:p w14:paraId="14D1D957">
      <w:pPr>
        <w:pStyle w:val="182"/>
      </w:pPr>
      <w:r>
        <w:t>考试成绩达到60分及以上的考生视为通过理论考试，具备基本的理论知识和技能。</w:t>
      </w:r>
    </w:p>
    <w:p w14:paraId="518BA51D">
      <w:pPr>
        <w:pStyle w:val="108"/>
        <w:spacing w:before="120" w:after="120"/>
      </w:pPr>
      <w:bookmarkStart w:id="95" w:name="_Toc200655833"/>
      <w:bookmarkStart w:id="96" w:name="_Toc198559321"/>
      <w:r>
        <w:t>实操考核</w:t>
      </w:r>
      <w:bookmarkEnd w:id="95"/>
      <w:bookmarkEnd w:id="96"/>
    </w:p>
    <w:p w14:paraId="754A2073">
      <w:pPr>
        <w:pStyle w:val="68"/>
        <w:spacing w:before="120" w:after="120"/>
      </w:pPr>
      <w:bookmarkStart w:id="97" w:name="_Toc198559322"/>
      <w:r>
        <w:t>考核内容</w:t>
      </w:r>
      <w:bookmarkEnd w:id="97"/>
    </w:p>
    <w:p w14:paraId="37CBD097">
      <w:pPr>
        <w:pStyle w:val="59"/>
        <w:ind w:firstLine="420"/>
      </w:pPr>
      <w:r>
        <w:rPr>
          <w:rFonts w:hint="eastAsia"/>
        </w:rPr>
        <w:t>参考附录 A.2</w:t>
      </w:r>
      <w:r>
        <w:t> 规定的全部内容，包括但不限于咖啡采摘技术、工具使用、安全操作等。</w:t>
      </w:r>
    </w:p>
    <w:p w14:paraId="210E1197">
      <w:pPr>
        <w:pStyle w:val="68"/>
        <w:spacing w:before="120" w:after="120"/>
      </w:pPr>
      <w:bookmarkStart w:id="98" w:name="_Toc198559323"/>
      <w:r>
        <w:t>考核形式</w:t>
      </w:r>
      <w:bookmarkEnd w:id="98"/>
    </w:p>
    <w:p w14:paraId="33C59470">
      <w:pPr>
        <w:pStyle w:val="59"/>
        <w:ind w:firstLine="420"/>
      </w:pPr>
      <w:r>
        <w:t>现场操作考核，由考评员根据考生的实际操作情况进行评分，评分标准参见附录</w:t>
      </w:r>
      <w:r>
        <w:rPr>
          <w:rFonts w:hint="eastAsia"/>
        </w:rPr>
        <w:t>D。</w:t>
      </w:r>
    </w:p>
    <w:p w14:paraId="3DDC6A93">
      <w:pPr>
        <w:pStyle w:val="68"/>
        <w:spacing w:before="120" w:after="120"/>
      </w:pPr>
      <w:bookmarkStart w:id="99" w:name="_Toc198559324"/>
      <w:r>
        <w:t>考核时间</w:t>
      </w:r>
      <w:bookmarkEnd w:id="99"/>
    </w:p>
    <w:p w14:paraId="4BF153BB">
      <w:pPr>
        <w:pStyle w:val="59"/>
        <w:ind w:firstLine="420"/>
      </w:pPr>
      <w:r>
        <w:t>根据实际情况确定，一般不超过120 min。</w:t>
      </w:r>
    </w:p>
    <w:p w14:paraId="04260DF8">
      <w:pPr>
        <w:pStyle w:val="68"/>
        <w:spacing w:before="120" w:after="120"/>
      </w:pPr>
      <w:bookmarkStart w:id="100" w:name="_Toc198559325"/>
      <w:r>
        <w:t>合格标准</w:t>
      </w:r>
      <w:bookmarkEnd w:id="100"/>
    </w:p>
    <w:p w14:paraId="42F29F30">
      <w:pPr>
        <w:pStyle w:val="59"/>
        <w:ind w:firstLine="420"/>
      </w:pPr>
      <w:r>
        <w:t>满分100分，60分合格。</w:t>
      </w:r>
    </w:p>
    <w:p w14:paraId="70D1C1D6">
      <w:pPr>
        <w:pStyle w:val="182"/>
      </w:pPr>
      <w:r>
        <w:t>实操考核成绩达到60分及以上的考生视为通过实操考核，具备基本的实际操作能力。</w:t>
      </w:r>
    </w:p>
    <w:p w14:paraId="3A0620EF">
      <w:pPr>
        <w:pStyle w:val="108"/>
        <w:spacing w:before="120" w:after="120"/>
      </w:pPr>
      <w:bookmarkStart w:id="101" w:name="_Toc200655834"/>
      <w:bookmarkStart w:id="102" w:name="_Toc198559326"/>
      <w:r>
        <w:t>综合评定</w:t>
      </w:r>
      <w:bookmarkEnd w:id="101"/>
      <w:bookmarkEnd w:id="102"/>
    </w:p>
    <w:p w14:paraId="182A43C6">
      <w:pPr>
        <w:pStyle w:val="68"/>
        <w:spacing w:before="120" w:after="120"/>
      </w:pPr>
      <w:bookmarkStart w:id="103" w:name="_Toc198559327"/>
      <w:r>
        <w:t>评定内容</w:t>
      </w:r>
      <w:bookmarkEnd w:id="103"/>
    </w:p>
    <w:p w14:paraId="2876B954">
      <w:pPr>
        <w:pStyle w:val="59"/>
        <w:ind w:firstLine="420"/>
      </w:pPr>
      <w:r>
        <w:t>综合理论考试和实操考核的成绩，评定考生的综合能力。</w:t>
      </w:r>
    </w:p>
    <w:p w14:paraId="6DB0A068">
      <w:pPr>
        <w:pStyle w:val="68"/>
        <w:spacing w:before="120" w:after="120"/>
      </w:pPr>
      <w:bookmarkStart w:id="104" w:name="_Toc198559328"/>
      <w:r>
        <w:t>评定标准</w:t>
      </w:r>
      <w:bookmarkEnd w:id="104"/>
    </w:p>
    <w:p w14:paraId="2C06AE44">
      <w:pPr>
        <w:pStyle w:val="59"/>
        <w:ind w:firstLine="420"/>
      </w:pPr>
      <w:r>
        <w:t>理论考试和实操考核的成绩各占50%，综合评定成绩达到60分及以上的考生视为通过综合评定，具备从事咖啡种植类人员（采摘）工作的能力。</w:t>
      </w:r>
    </w:p>
    <w:p w14:paraId="1758438B">
      <w:pPr>
        <w:pStyle w:val="68"/>
        <w:spacing w:before="120" w:after="120"/>
      </w:pPr>
      <w:bookmarkStart w:id="105" w:name="_Toc198559329"/>
      <w:r>
        <w:t>评定结果</w:t>
      </w:r>
      <w:bookmarkEnd w:id="105"/>
    </w:p>
    <w:p w14:paraId="3023E0FF">
      <w:pPr>
        <w:pStyle w:val="59"/>
        <w:ind w:firstLine="420"/>
      </w:pPr>
      <w:r>
        <w:t>评定结果分为合格和不合格两种，合格者将获得相应的能力评定证书。</w:t>
      </w:r>
    </w:p>
    <w:p w14:paraId="6B7B64A2">
      <w:pPr>
        <w:pStyle w:val="108"/>
        <w:spacing w:before="120" w:after="120"/>
      </w:pPr>
      <w:bookmarkStart w:id="106" w:name="_Toc198559330"/>
      <w:bookmarkStart w:id="107" w:name="_Toc200655835"/>
      <w:r>
        <w:t>评定周期</w:t>
      </w:r>
      <w:bookmarkEnd w:id="106"/>
      <w:bookmarkEnd w:id="107"/>
    </w:p>
    <w:p w14:paraId="77D09E6C">
      <w:pPr>
        <w:pStyle w:val="59"/>
        <w:ind w:firstLine="420"/>
      </w:pPr>
      <w:bookmarkStart w:id="108" w:name="_Toc198559331"/>
      <w:r>
        <w:t>理论考试和实操考核的评定周期为每年一次，具体时间由评定机构根据实际情况确定。</w:t>
      </w:r>
      <w:bookmarkEnd w:id="108"/>
    </w:p>
    <w:p w14:paraId="195A93F1">
      <w:pPr>
        <w:pStyle w:val="182"/>
      </w:pPr>
      <w:r>
        <w:t>评定机构应在评定周期内完成所有评定工作，并及时公布评定结果。</w:t>
      </w:r>
    </w:p>
    <w:p w14:paraId="42EA3E05">
      <w:pPr>
        <w:pStyle w:val="108"/>
        <w:spacing w:before="120" w:after="120"/>
      </w:pPr>
      <w:bookmarkStart w:id="109" w:name="_Toc200655836"/>
      <w:bookmarkStart w:id="110" w:name="_Toc198559332"/>
      <w:r>
        <w:t>评定监督</w:t>
      </w:r>
      <w:bookmarkEnd w:id="109"/>
      <w:bookmarkEnd w:id="110"/>
    </w:p>
    <w:p w14:paraId="2F5A2BDF">
      <w:pPr>
        <w:pStyle w:val="59"/>
        <w:ind w:firstLine="420"/>
      </w:pPr>
      <w:bookmarkStart w:id="111" w:name="_Toc198559333"/>
      <w:r>
        <w:t>评定过程应接受相关部门的监督，确保评定工作的公平、公正、公开。</w:t>
      </w:r>
      <w:bookmarkEnd w:id="111"/>
    </w:p>
    <w:p w14:paraId="3151CCA0">
      <w:pPr>
        <w:pStyle w:val="182"/>
        <w:rPr>
          <w:rFonts w:ascii="黑体" w:eastAsia="黑体"/>
        </w:rPr>
      </w:pPr>
      <w:r>
        <w:t>评定机构应建立完善的监督机制，接受考生和社会的监督，及时处理评定过程中的问题和投诉。</w:t>
      </w:r>
    </w:p>
    <w:p w14:paraId="2A23DBF6">
      <w:pPr>
        <w:pStyle w:val="108"/>
        <w:spacing w:before="120" w:after="120"/>
      </w:pPr>
      <w:bookmarkStart w:id="112" w:name="_Toc200655837"/>
      <w:bookmarkStart w:id="113" w:name="_Toc198559334"/>
      <w:r>
        <w:t>评定记录</w:t>
      </w:r>
      <w:bookmarkEnd w:id="112"/>
      <w:bookmarkEnd w:id="113"/>
    </w:p>
    <w:p w14:paraId="3CBA2AEF">
      <w:pPr>
        <w:pStyle w:val="59"/>
        <w:ind w:firstLine="420"/>
      </w:pPr>
      <w:bookmarkStart w:id="114" w:name="_Toc198559335"/>
      <w:r>
        <w:t>评定记录</w:t>
      </w:r>
      <w:r>
        <w:rPr>
          <w:rFonts w:hint="eastAsia"/>
        </w:rPr>
        <w:t>内容应</w:t>
      </w:r>
      <w:r>
        <w:t>包括考生的报名信息、考试成绩、实操考核评分、综合评定结果等</w:t>
      </w:r>
      <w:r>
        <w:rPr>
          <w:rFonts w:hint="eastAsia"/>
        </w:rPr>
        <w:t>信息</w:t>
      </w:r>
      <w:r>
        <w:t>。</w:t>
      </w:r>
      <w:bookmarkEnd w:id="114"/>
    </w:p>
    <w:p w14:paraId="4D0DE000">
      <w:pPr>
        <w:pStyle w:val="182"/>
      </w:pPr>
      <w:r>
        <w:rPr>
          <w:rFonts w:hint="eastAsia"/>
        </w:rPr>
        <w:t>评定机构应妥善保存，</w:t>
      </w:r>
      <w:r>
        <w:t>保存至少五年，以备查阅和复核。</w:t>
      </w:r>
    </w:p>
    <w:p w14:paraId="28573D4A">
      <w:pPr>
        <w:pStyle w:val="108"/>
        <w:spacing w:before="120" w:after="120"/>
      </w:pPr>
      <w:bookmarkStart w:id="115" w:name="_Toc198559336"/>
      <w:bookmarkStart w:id="116" w:name="_Toc200655838"/>
      <w:r>
        <w:t>评定证书</w:t>
      </w:r>
      <w:bookmarkEnd w:id="115"/>
      <w:bookmarkEnd w:id="116"/>
    </w:p>
    <w:p w14:paraId="35D6F8D4">
      <w:pPr>
        <w:pStyle w:val="59"/>
        <w:ind w:firstLine="420"/>
      </w:pPr>
      <w:bookmarkStart w:id="117" w:name="_Toc198559337"/>
      <w:r>
        <w:t>通过综合评定的考生递交评定申请表（见附录B）</w:t>
      </w:r>
      <w:r>
        <w:rPr>
          <w:rFonts w:hint="eastAsia"/>
        </w:rPr>
        <w:t>，</w:t>
      </w:r>
      <w:r>
        <w:t>将获得由评定机构颁发证书</w:t>
      </w:r>
      <w:r>
        <w:rPr>
          <w:rFonts w:hint="eastAsia"/>
        </w:rPr>
        <w:t>，</w:t>
      </w:r>
      <w:r>
        <w:t>样式参见附录C。</w:t>
      </w:r>
      <w:bookmarkEnd w:id="117"/>
    </w:p>
    <w:p w14:paraId="1314B8A8">
      <w:pPr>
        <w:pStyle w:val="108"/>
        <w:spacing w:before="120" w:after="120"/>
      </w:pPr>
      <w:bookmarkStart w:id="118" w:name="_Toc200655839"/>
      <w:bookmarkStart w:id="119" w:name="_Toc198559338"/>
      <w:r>
        <w:t>评定费用</w:t>
      </w:r>
      <w:bookmarkEnd w:id="118"/>
      <w:bookmarkEnd w:id="119"/>
    </w:p>
    <w:p w14:paraId="1CFCBE21">
      <w:pPr>
        <w:pStyle w:val="59"/>
        <w:ind w:firstLine="420"/>
      </w:pPr>
      <w:bookmarkStart w:id="120" w:name="_Toc198559339"/>
      <w:r>
        <w:t>评定费用由考生自行承担，具体费用标准由评定机构根据实际情况确定并公布。</w:t>
      </w:r>
      <w:bookmarkEnd w:id="120"/>
    </w:p>
    <w:p w14:paraId="2716BB33">
      <w:pPr>
        <w:pStyle w:val="182"/>
      </w:pPr>
      <w:r>
        <w:t>评定费用应包括理论考试、实操考核、评定证书等各项费用。</w:t>
      </w:r>
    </w:p>
    <w:p w14:paraId="2E186ABF">
      <w:pPr>
        <w:pStyle w:val="108"/>
        <w:spacing w:before="120" w:after="120"/>
      </w:pPr>
      <w:bookmarkStart w:id="121" w:name="_Toc200655840"/>
      <w:bookmarkStart w:id="122" w:name="_Toc198559340"/>
      <w:r>
        <w:t>评定申诉</w:t>
      </w:r>
      <w:bookmarkEnd w:id="121"/>
      <w:bookmarkEnd w:id="122"/>
    </w:p>
    <w:p w14:paraId="79C3E558">
      <w:pPr>
        <w:pStyle w:val="59"/>
        <w:ind w:firstLine="420"/>
      </w:pPr>
      <w:bookmarkStart w:id="123" w:name="_Toc198559341"/>
      <w:r>
        <w:rPr>
          <w:rFonts w:hint="eastAsia"/>
        </w:rPr>
        <w:t>评定机构应处理</w:t>
      </w:r>
      <w:r>
        <w:t>结果公布后10个工作日内</w:t>
      </w:r>
      <w:r>
        <w:rPr>
          <w:rFonts w:hint="eastAsia"/>
        </w:rPr>
        <w:t>收到的</w:t>
      </w:r>
      <w:r>
        <w:t>申诉</w:t>
      </w:r>
      <w:r>
        <w:rPr>
          <w:rFonts w:hint="eastAsia"/>
        </w:rPr>
        <w:t>书，并在收到申诉书的20个工作日内进行调查和处理，并将处理结果书面通知申诉人</w:t>
      </w:r>
      <w:r>
        <w:t>。</w:t>
      </w:r>
      <w:bookmarkEnd w:id="123"/>
    </w:p>
    <w:p w14:paraId="6B425781">
      <w:pPr>
        <w:pStyle w:val="108"/>
        <w:spacing w:before="120" w:after="120"/>
      </w:pPr>
      <w:bookmarkStart w:id="124" w:name="_Toc200655841"/>
      <w:bookmarkStart w:id="125" w:name="_Toc198559342"/>
      <w:r>
        <w:t>评定改进</w:t>
      </w:r>
      <w:bookmarkEnd w:id="124"/>
      <w:bookmarkEnd w:id="125"/>
    </w:p>
    <w:p w14:paraId="6B23D77D">
      <w:pPr>
        <w:pStyle w:val="59"/>
        <w:ind w:firstLine="420"/>
      </w:pPr>
      <w:r>
        <w:t>评定机构应定期对评定方法和标准进行审查和改进，确保评定工作的科学性和有效性。</w:t>
      </w:r>
    </w:p>
    <w:p w14:paraId="590EB857">
      <w:pPr>
        <w:pStyle w:val="107"/>
        <w:spacing w:before="240" w:after="240"/>
      </w:pPr>
      <w:bookmarkStart w:id="126" w:name="_Toc198559343"/>
      <w:bookmarkStart w:id="127" w:name="_Toc200655842"/>
      <w:r>
        <w:t>评定等级</w:t>
      </w:r>
      <w:bookmarkEnd w:id="126"/>
      <w:bookmarkEnd w:id="127"/>
    </w:p>
    <w:p w14:paraId="24C2CB08">
      <w:pPr>
        <w:pStyle w:val="108"/>
        <w:spacing w:before="120" w:after="120"/>
      </w:pPr>
      <w:bookmarkStart w:id="128" w:name="_Toc200655843"/>
      <w:bookmarkStart w:id="129" w:name="_Toc198559344"/>
      <w:r>
        <w:t>评定等级概述</w:t>
      </w:r>
      <w:bookmarkEnd w:id="128"/>
      <w:bookmarkEnd w:id="129"/>
    </w:p>
    <w:p w14:paraId="5FF3BB2F">
      <w:pPr>
        <w:pStyle w:val="59"/>
        <w:ind w:firstLine="420"/>
      </w:pPr>
      <w:r>
        <w:t>评定等级分为初级、中级、高级三个等级。</w:t>
      </w:r>
    </w:p>
    <w:p w14:paraId="2460ECA4">
      <w:pPr>
        <w:pStyle w:val="108"/>
        <w:spacing w:before="120" w:after="120"/>
      </w:pPr>
      <w:bookmarkStart w:id="130" w:name="_Toc200655844"/>
      <w:bookmarkStart w:id="131" w:name="_Toc198559345"/>
      <w:r>
        <w:t>初级</w:t>
      </w:r>
      <w:bookmarkEnd w:id="130"/>
      <w:bookmarkEnd w:id="131"/>
    </w:p>
    <w:p w14:paraId="35631F01">
      <w:pPr>
        <w:pStyle w:val="59"/>
        <w:ind w:firstLine="420"/>
      </w:pPr>
      <w:r>
        <w:rPr>
          <w:rFonts w:hint="eastAsia"/>
        </w:rPr>
        <w:t>应满足以下条件：</w:t>
      </w:r>
    </w:p>
    <w:p w14:paraId="36A93185">
      <w:pPr>
        <w:pStyle w:val="177"/>
      </w:pPr>
      <w:r>
        <w:t>理论知识考试合格</w:t>
      </w:r>
      <w:r>
        <w:rPr>
          <w:rFonts w:hint="eastAsia"/>
        </w:rPr>
        <w:t>：</w:t>
      </w:r>
    </w:p>
    <w:p w14:paraId="13DD9216">
      <w:pPr>
        <w:pStyle w:val="135"/>
        <w:tabs>
          <w:tab w:val="left" w:pos="1276"/>
          <w:tab w:val="clear" w:pos="851"/>
        </w:tabs>
        <w:ind w:firstLine="0"/>
      </w:pPr>
      <w:r>
        <w:t>掌握咖啡种植基础知识，包括咖啡树的生长周期、常见病虫害防治、采摘时机判断等</w:t>
      </w:r>
      <w:r>
        <w:rPr>
          <w:rFonts w:hint="eastAsia"/>
        </w:rPr>
        <w:t>；</w:t>
      </w:r>
    </w:p>
    <w:p w14:paraId="363A1682">
      <w:pPr>
        <w:pStyle w:val="135"/>
        <w:tabs>
          <w:tab w:val="left" w:pos="1276"/>
          <w:tab w:val="clear" w:pos="851"/>
        </w:tabs>
        <w:ind w:firstLine="0"/>
      </w:pPr>
      <w:r>
        <w:t>了解咖啡鲜果采摘的基本流程和注意事项。</w:t>
      </w:r>
    </w:p>
    <w:p w14:paraId="6D7E3BC3">
      <w:pPr>
        <w:pStyle w:val="177"/>
      </w:pPr>
      <w:r>
        <w:t>实际操作考核合格</w:t>
      </w:r>
      <w:r>
        <w:rPr>
          <w:rFonts w:hint="eastAsia"/>
        </w:rPr>
        <w:t>：</w:t>
      </w:r>
    </w:p>
    <w:p w14:paraId="1EC78D12">
      <w:pPr>
        <w:pStyle w:val="135"/>
        <w:tabs>
          <w:tab w:val="left" w:pos="1276"/>
          <w:tab w:val="clear" w:pos="851"/>
        </w:tabs>
        <w:ind w:firstLine="0"/>
      </w:pPr>
      <w:r>
        <w:t>应独立完成咖啡鲜果的采摘工作，采摘效率达到基本要求</w:t>
      </w:r>
      <w:r>
        <w:rPr>
          <w:rFonts w:hint="eastAsia"/>
        </w:rPr>
        <w:t>；</w:t>
      </w:r>
    </w:p>
    <w:p w14:paraId="687BAE4C">
      <w:pPr>
        <w:pStyle w:val="135"/>
        <w:tabs>
          <w:tab w:val="left" w:pos="1276"/>
          <w:tab w:val="clear" w:pos="851"/>
        </w:tabs>
        <w:ind w:firstLine="0"/>
      </w:pPr>
      <w:r>
        <w:t>应正确使用采摘工具，确保采摘过程中不损伤咖啡树和果实。</w:t>
      </w:r>
    </w:p>
    <w:p w14:paraId="6BDA93BD">
      <w:pPr>
        <w:pStyle w:val="177"/>
      </w:pPr>
      <w:r>
        <w:t>从事咖啡鲜果采摘工作</w:t>
      </w:r>
      <w:r>
        <w:rPr>
          <w:rFonts w:hint="eastAsia"/>
        </w:rPr>
        <w:t>1</w:t>
      </w:r>
      <w:r>
        <w:t>年以上。</w:t>
      </w:r>
    </w:p>
    <w:p w14:paraId="3B62BCB6">
      <w:pPr>
        <w:pStyle w:val="108"/>
        <w:spacing w:before="120" w:after="120"/>
      </w:pPr>
      <w:bookmarkStart w:id="132" w:name="_Toc198559346"/>
      <w:bookmarkStart w:id="133" w:name="_Toc200655845"/>
      <w:r>
        <w:t>中级</w:t>
      </w:r>
      <w:bookmarkEnd w:id="132"/>
      <w:bookmarkEnd w:id="133"/>
    </w:p>
    <w:p w14:paraId="55EE601E">
      <w:pPr>
        <w:pStyle w:val="59"/>
        <w:ind w:firstLine="420"/>
      </w:pPr>
      <w:r>
        <w:rPr>
          <w:rFonts w:hint="eastAsia"/>
        </w:rPr>
        <w:t>应满足以下条件：</w:t>
      </w:r>
    </w:p>
    <w:p w14:paraId="34EA3C1C">
      <w:pPr>
        <w:pStyle w:val="177"/>
        <w:numPr>
          <w:ilvl w:val="0"/>
          <w:numId w:val="32"/>
        </w:numPr>
        <w:ind w:left="850" w:hanging="425"/>
      </w:pPr>
      <w:r>
        <w:t>理论知识考试合格</w:t>
      </w:r>
      <w:r>
        <w:rPr>
          <w:rFonts w:hint="eastAsia"/>
        </w:rPr>
        <w:t>：</w:t>
      </w:r>
    </w:p>
    <w:p w14:paraId="1910D684">
      <w:pPr>
        <w:pStyle w:val="135"/>
        <w:tabs>
          <w:tab w:val="left" w:pos="1276"/>
          <w:tab w:val="clear" w:pos="851"/>
        </w:tabs>
        <w:ind w:firstLine="0"/>
      </w:pPr>
      <w:r>
        <w:t>深入理解咖啡种植技术，包括土壤管理、施肥技术、病虫害综合防治等</w:t>
      </w:r>
      <w:r>
        <w:rPr>
          <w:rFonts w:hint="eastAsia"/>
        </w:rPr>
        <w:t>；</w:t>
      </w:r>
    </w:p>
    <w:p w14:paraId="36023F59">
      <w:pPr>
        <w:pStyle w:val="135"/>
        <w:tabs>
          <w:tab w:val="left" w:pos="1276"/>
          <w:tab w:val="clear" w:pos="851"/>
        </w:tabs>
        <w:ind w:firstLine="0"/>
      </w:pPr>
      <w:r>
        <w:t>掌握咖啡鲜果采摘的高级技巧，如选择性采摘、成熟度判断等。</w:t>
      </w:r>
    </w:p>
    <w:p w14:paraId="0F45186B">
      <w:pPr>
        <w:pStyle w:val="177"/>
        <w:numPr>
          <w:ilvl w:val="0"/>
          <w:numId w:val="32"/>
        </w:numPr>
        <w:ind w:left="850" w:hanging="425"/>
      </w:pPr>
      <w:r>
        <w:t>实际操作考核合格</w:t>
      </w:r>
      <w:r>
        <w:rPr>
          <w:rFonts w:hint="eastAsia"/>
        </w:rPr>
        <w:t>：</w:t>
      </w:r>
    </w:p>
    <w:p w14:paraId="68C6879A">
      <w:pPr>
        <w:pStyle w:val="135"/>
        <w:tabs>
          <w:tab w:val="left" w:pos="1276"/>
          <w:tab w:val="clear" w:pos="851"/>
        </w:tabs>
        <w:ind w:firstLine="0"/>
      </w:pPr>
      <w:r>
        <w:t>应高效、准确地完成咖啡鲜果采摘工作，采摘效率和质量达到中级水平</w:t>
      </w:r>
      <w:r>
        <w:rPr>
          <w:rFonts w:hint="eastAsia"/>
        </w:rPr>
        <w:t>；</w:t>
      </w:r>
    </w:p>
    <w:p w14:paraId="234D0AC5">
      <w:pPr>
        <w:pStyle w:val="135"/>
        <w:tabs>
          <w:tab w:val="left" w:pos="1276"/>
          <w:tab w:val="clear" w:pos="851"/>
        </w:tabs>
        <w:ind w:firstLine="0"/>
      </w:pPr>
      <w:r>
        <w:t>应处理采摘过程中遇到的常见问题，如病虫害果实的识别和处理。</w:t>
      </w:r>
    </w:p>
    <w:p w14:paraId="5DA2E9A7">
      <w:pPr>
        <w:pStyle w:val="177"/>
        <w:numPr>
          <w:ilvl w:val="0"/>
          <w:numId w:val="32"/>
        </w:numPr>
        <w:ind w:left="850" w:hanging="425"/>
      </w:pPr>
      <w:r>
        <w:t>从事咖啡鲜果采摘工作2年以上</w:t>
      </w:r>
      <w:r>
        <w:rPr>
          <w:rFonts w:hint="eastAsia"/>
        </w:rPr>
        <w:t>，</w:t>
      </w:r>
      <w:r>
        <w:t>具备一定的实践经验，能够应对不同气候和地形条件下的采摘工作。</w:t>
      </w:r>
    </w:p>
    <w:p w14:paraId="4DEA8D73">
      <w:pPr>
        <w:pStyle w:val="108"/>
        <w:spacing w:before="120" w:after="120"/>
      </w:pPr>
      <w:bookmarkStart w:id="134" w:name="_Toc198559347"/>
      <w:bookmarkStart w:id="135" w:name="_Toc200655846"/>
      <w:r>
        <w:t>高级</w:t>
      </w:r>
      <w:bookmarkEnd w:id="134"/>
      <w:bookmarkEnd w:id="135"/>
    </w:p>
    <w:p w14:paraId="3A415031">
      <w:pPr>
        <w:pStyle w:val="59"/>
        <w:ind w:firstLine="420"/>
      </w:pPr>
      <w:r>
        <w:rPr>
          <w:rFonts w:hint="eastAsia"/>
        </w:rPr>
        <w:t>应满足以下条件：</w:t>
      </w:r>
    </w:p>
    <w:p w14:paraId="76AE325A">
      <w:pPr>
        <w:pStyle w:val="177"/>
        <w:numPr>
          <w:ilvl w:val="0"/>
          <w:numId w:val="33"/>
        </w:numPr>
        <w:ind w:left="850" w:hanging="425"/>
      </w:pPr>
      <w:r>
        <w:t>理论知识考试合格</w:t>
      </w:r>
      <w:r>
        <w:rPr>
          <w:rFonts w:hint="eastAsia"/>
        </w:rPr>
        <w:t>：</w:t>
      </w:r>
    </w:p>
    <w:p w14:paraId="13CE9CA3">
      <w:pPr>
        <w:pStyle w:val="135"/>
        <w:tabs>
          <w:tab w:val="left" w:pos="1276"/>
          <w:tab w:val="clear" w:pos="851"/>
        </w:tabs>
        <w:ind w:firstLine="0"/>
      </w:pPr>
      <w:r>
        <w:t>精通咖啡种植和采摘的全面知识，能够进行技术指导和培训</w:t>
      </w:r>
      <w:r>
        <w:rPr>
          <w:rFonts w:hint="eastAsia"/>
        </w:rPr>
        <w:t>；</w:t>
      </w:r>
    </w:p>
    <w:p w14:paraId="785BC917">
      <w:pPr>
        <w:pStyle w:val="135"/>
        <w:tabs>
          <w:tab w:val="left" w:pos="1276"/>
          <w:tab w:val="clear" w:pos="851"/>
        </w:tabs>
        <w:ind w:firstLine="0"/>
      </w:pPr>
      <w:r>
        <w:t>了解咖啡产业链的各个环节，包括加工、销售等。</w:t>
      </w:r>
    </w:p>
    <w:p w14:paraId="743E7A2D">
      <w:pPr>
        <w:pStyle w:val="177"/>
        <w:numPr>
          <w:ilvl w:val="0"/>
          <w:numId w:val="33"/>
        </w:numPr>
        <w:ind w:left="850" w:hanging="425"/>
      </w:pPr>
      <w:r>
        <w:t>实际操作考核合格</w:t>
      </w:r>
      <w:r>
        <w:rPr>
          <w:rFonts w:hint="eastAsia"/>
        </w:rPr>
        <w:t>：</w:t>
      </w:r>
    </w:p>
    <w:p w14:paraId="1BE2163F">
      <w:pPr>
        <w:pStyle w:val="135"/>
        <w:tabs>
          <w:tab w:val="left" w:pos="1276"/>
          <w:tab w:val="clear" w:pos="851"/>
        </w:tabs>
        <w:ind w:firstLine="0"/>
      </w:pPr>
      <w:r>
        <w:t>应高效、精准地完成咖啡鲜果采摘工作，采摘效率和质量达到高级水平</w:t>
      </w:r>
      <w:r>
        <w:rPr>
          <w:rFonts w:hint="eastAsia"/>
        </w:rPr>
        <w:t>；</w:t>
      </w:r>
    </w:p>
    <w:p w14:paraId="4B7C3924">
      <w:pPr>
        <w:pStyle w:val="135"/>
        <w:tabs>
          <w:tab w:val="left" w:pos="1276"/>
          <w:tab w:val="clear" w:pos="851"/>
        </w:tabs>
        <w:ind w:firstLine="0"/>
      </w:pPr>
      <w:r>
        <w:t>应解决采摘过程中遇到的复杂问题，如特殊气候条件下的采摘策略。</w:t>
      </w:r>
    </w:p>
    <w:p w14:paraId="77A8F424">
      <w:pPr>
        <w:pStyle w:val="177"/>
        <w:numPr>
          <w:ilvl w:val="0"/>
          <w:numId w:val="33"/>
        </w:numPr>
        <w:ind w:left="850" w:hanging="425"/>
      </w:pPr>
      <w:r>
        <w:t>从事咖啡鲜果采摘工作5年以上</w:t>
      </w:r>
      <w:r>
        <w:rPr>
          <w:rFonts w:hint="eastAsia"/>
        </w:rPr>
        <w:t>，</w:t>
      </w:r>
      <w:r>
        <w:t>具备丰富的实践经验，应对各种复杂情况，确保采摘工作的顺利进行</w:t>
      </w:r>
      <w:r>
        <w:rPr>
          <w:rFonts w:hint="eastAsia"/>
        </w:rPr>
        <w:t>：</w:t>
      </w:r>
    </w:p>
    <w:p w14:paraId="27AAEFA8">
      <w:pPr>
        <w:pStyle w:val="177"/>
        <w:numPr>
          <w:ilvl w:val="0"/>
          <w:numId w:val="33"/>
        </w:numPr>
        <w:ind w:left="850" w:hanging="425"/>
      </w:pPr>
      <w:r>
        <w:t>具备一定的组织管理能力</w:t>
      </w:r>
      <w:r>
        <w:rPr>
          <w:rFonts w:hint="eastAsia"/>
        </w:rPr>
        <w:t>：</w:t>
      </w:r>
    </w:p>
    <w:p w14:paraId="63B8CD21">
      <w:pPr>
        <w:pStyle w:val="135"/>
        <w:tabs>
          <w:tab w:val="left" w:pos="1276"/>
          <w:tab w:val="clear" w:pos="851"/>
        </w:tabs>
        <w:ind w:firstLine="0"/>
      </w:pPr>
      <w:r>
        <w:t>应指导初级、中级人员开展工作</w:t>
      </w:r>
      <w:r>
        <w:rPr>
          <w:rFonts w:hint="eastAsia"/>
        </w:rPr>
        <w:t>；</w:t>
      </w:r>
    </w:p>
    <w:p w14:paraId="43A267AB">
      <w:pPr>
        <w:pStyle w:val="135"/>
        <w:tabs>
          <w:tab w:val="left" w:pos="1276"/>
          <w:tab w:val="clear" w:pos="851"/>
        </w:tabs>
        <w:ind w:firstLine="0"/>
      </w:pPr>
      <w:r>
        <w:t>应组织和协调团队进行大规模采摘工作，确保工作效率和质量</w:t>
      </w:r>
      <w:r>
        <w:rPr>
          <w:rFonts w:hint="eastAsia"/>
        </w:rPr>
        <w:t>；</w:t>
      </w:r>
    </w:p>
    <w:p w14:paraId="486FEE8D">
      <w:pPr>
        <w:pStyle w:val="135"/>
        <w:tabs>
          <w:tab w:val="left" w:pos="1276"/>
          <w:tab w:val="clear" w:pos="851"/>
        </w:tabs>
        <w:ind w:firstLine="0"/>
      </w:pPr>
      <w:r>
        <w:t>应对初级和中级人员进行技术指导和培训，提升团队整体水平。</w:t>
      </w:r>
    </w:p>
    <w:p w14:paraId="091F727D">
      <w:pPr>
        <w:pStyle w:val="107"/>
        <w:spacing w:before="240" w:after="240"/>
      </w:pPr>
      <w:bookmarkStart w:id="136" w:name="_Toc198559348"/>
      <w:bookmarkStart w:id="137" w:name="_Toc200655847"/>
      <w:r>
        <w:t>证书管理</w:t>
      </w:r>
      <w:bookmarkEnd w:id="136"/>
      <w:bookmarkEnd w:id="137"/>
    </w:p>
    <w:p w14:paraId="1677E208">
      <w:pPr>
        <w:pStyle w:val="108"/>
        <w:spacing w:before="120" w:after="120"/>
      </w:pPr>
      <w:bookmarkStart w:id="138" w:name="_Toc200655848"/>
      <w:bookmarkStart w:id="139" w:name="_Toc198559349"/>
      <w:r>
        <w:t>证书颁发</w:t>
      </w:r>
      <w:bookmarkEnd w:id="138"/>
      <w:bookmarkEnd w:id="139"/>
    </w:p>
    <w:p w14:paraId="1026FE5D">
      <w:pPr>
        <w:pStyle w:val="59"/>
        <w:ind w:firstLine="420"/>
      </w:pPr>
      <w:r>
        <w:rPr>
          <w:rFonts w:hint="eastAsia"/>
        </w:rPr>
        <w:t>应注意以下事项：</w:t>
      </w:r>
    </w:p>
    <w:p w14:paraId="42F8E4C4">
      <w:pPr>
        <w:pStyle w:val="135"/>
      </w:pPr>
      <w:r>
        <w:t>通过能力评定的种植类人员（采摘），由</w:t>
      </w:r>
      <w:r>
        <w:rPr>
          <w:rFonts w:hint="eastAsia"/>
        </w:rPr>
        <w:t>资质</w:t>
      </w:r>
      <w:r>
        <w:t>评定机构颁发相应等级的《兴隆咖啡师劳务品牌</w:t>
      </w:r>
      <w:r>
        <w:rPr>
          <w:rFonts w:hint="eastAsia"/>
        </w:rPr>
        <w:t xml:space="preserve"> </w:t>
      </w:r>
      <w:r>
        <w:t>种植类人员（采摘）能力证书》，能力证书参见附录</w:t>
      </w:r>
      <w:r>
        <w:rPr>
          <w:rFonts w:hint="eastAsia"/>
        </w:rPr>
        <w:t>C；</w:t>
      </w:r>
    </w:p>
    <w:p w14:paraId="616D08C5">
      <w:pPr>
        <w:pStyle w:val="135"/>
      </w:pPr>
      <w:r>
        <w:t>证书有效期3年，有效期届满前需进行复审</w:t>
      </w:r>
      <w:r>
        <w:rPr>
          <w:rFonts w:hint="eastAsia"/>
        </w:rPr>
        <w:t>；</w:t>
      </w:r>
    </w:p>
    <w:p w14:paraId="2EF6580A">
      <w:pPr>
        <w:pStyle w:val="135"/>
      </w:pPr>
      <w:r>
        <w:t>证书应包含以下信息：持证人姓名、性别、身份证号码、证书等级、证书编号、发证日期、有效期、发证机构名称及印章</w:t>
      </w:r>
      <w:r>
        <w:rPr>
          <w:rFonts w:hint="eastAsia"/>
        </w:rPr>
        <w:t>；</w:t>
      </w:r>
    </w:p>
    <w:p w14:paraId="3B9C55BE">
      <w:pPr>
        <w:pStyle w:val="135"/>
      </w:pPr>
      <w:r>
        <w:t>证书颁发机构应建立证书管理数据库，记录证书的颁发、复审、注销等信息，并定期更新和维护。</w:t>
      </w:r>
    </w:p>
    <w:p w14:paraId="77923941">
      <w:pPr>
        <w:pStyle w:val="108"/>
        <w:spacing w:before="120" w:after="120"/>
      </w:pPr>
      <w:bookmarkStart w:id="140" w:name="_Toc198559350"/>
      <w:bookmarkStart w:id="141" w:name="_Toc200655849"/>
      <w:r>
        <w:t>证书复审</w:t>
      </w:r>
      <w:bookmarkEnd w:id="140"/>
      <w:bookmarkEnd w:id="141"/>
    </w:p>
    <w:p w14:paraId="3FAB6DA5">
      <w:pPr>
        <w:pStyle w:val="59"/>
        <w:ind w:firstLine="420"/>
      </w:pPr>
      <w:r>
        <w:rPr>
          <w:rFonts w:hint="eastAsia"/>
        </w:rPr>
        <w:t>证书复审应注意以下事项：</w:t>
      </w:r>
    </w:p>
    <w:p w14:paraId="2E9A36AC">
      <w:pPr>
        <w:pStyle w:val="135"/>
      </w:pPr>
      <w:r>
        <w:t>证书有效期内，持证人需参加继续教育，并达到规定学时。继续教育内容应包括但不限于：咖啡种植新技术、采摘技巧、安全生产知识等</w:t>
      </w:r>
      <w:r>
        <w:rPr>
          <w:rFonts w:hint="eastAsia"/>
        </w:rPr>
        <w:t>；</w:t>
      </w:r>
    </w:p>
    <w:p w14:paraId="6D303541">
      <w:pPr>
        <w:pStyle w:val="135"/>
      </w:pPr>
      <w:r>
        <w:t>证书有效期届满前3个月内，持证人可向发证机构申请复审。复审申请需提交以下材料：原证书、继续教育证明、身份证明等</w:t>
      </w:r>
      <w:r>
        <w:rPr>
          <w:rFonts w:hint="eastAsia"/>
        </w:rPr>
        <w:t>；</w:t>
      </w:r>
    </w:p>
    <w:p w14:paraId="6D77F778">
      <w:pPr>
        <w:pStyle w:val="135"/>
      </w:pPr>
      <w:r>
        <w:t>复审合格者，换发新证书。复审不合格者可在6个月内重新申请复审，逾期未申请或复审仍不合格者，需重新参加能力评定</w:t>
      </w:r>
      <w:r>
        <w:rPr>
          <w:rFonts w:hint="eastAsia"/>
        </w:rPr>
        <w:t>；</w:t>
      </w:r>
    </w:p>
    <w:p w14:paraId="2E5DB659">
      <w:pPr>
        <w:pStyle w:val="135"/>
      </w:pPr>
      <w:r>
        <w:t>复审内容包括：持证人在有效期内的继续教育情况、实际工作表现、技能水平等。复审方式可包括：书面考试、实际操作考核、面试等</w:t>
      </w:r>
      <w:r>
        <w:rPr>
          <w:rFonts w:hint="eastAsia"/>
        </w:rPr>
        <w:t>；</w:t>
      </w:r>
    </w:p>
    <w:p w14:paraId="5C2942A1">
      <w:pPr>
        <w:pStyle w:val="135"/>
      </w:pPr>
      <w:r>
        <w:t>复审结果公示，公示期不少于7个工作日。公示期内，持证人对复审结果有异议的，可向发证机构提出申诉，发证机构应在15个工作日内处理并答复。</w:t>
      </w:r>
    </w:p>
    <w:p w14:paraId="35EE1393">
      <w:pPr>
        <w:pStyle w:val="108"/>
        <w:spacing w:before="120" w:after="120"/>
      </w:pPr>
      <w:bookmarkStart w:id="142" w:name="_Toc200655850"/>
      <w:bookmarkStart w:id="143" w:name="_Toc198559351"/>
      <w:r>
        <w:t>证书注销</w:t>
      </w:r>
      <w:bookmarkEnd w:id="142"/>
      <w:bookmarkEnd w:id="143"/>
    </w:p>
    <w:p w14:paraId="0971B643">
      <w:pPr>
        <w:pStyle w:val="59"/>
        <w:ind w:firstLine="420"/>
      </w:pPr>
      <w:bookmarkStart w:id="144" w:name="_Toc198559352"/>
      <w:r>
        <w:t>持证人在证书有效期内有下列情形之一的，发证机构应注销其证书：</w:t>
      </w:r>
      <w:bookmarkEnd w:id="144"/>
    </w:p>
    <w:p w14:paraId="6A69E33B">
      <w:pPr>
        <w:pStyle w:val="135"/>
      </w:pPr>
      <w:r>
        <w:t>提供虚假材料骗取证书的；</w:t>
      </w:r>
    </w:p>
    <w:p w14:paraId="7B3F45CB">
      <w:pPr>
        <w:pStyle w:val="135"/>
      </w:pPr>
      <w:r>
        <w:t>严重违反职业道德或行业规范的；</w:t>
      </w:r>
    </w:p>
    <w:p w14:paraId="45656426">
      <w:pPr>
        <w:pStyle w:val="135"/>
      </w:pPr>
      <w:r>
        <w:t>因重大过失造成严重后果的；</w:t>
      </w:r>
    </w:p>
    <w:p w14:paraId="5DBFD2C1">
      <w:pPr>
        <w:pStyle w:val="135"/>
      </w:pPr>
      <w:r>
        <w:t>其他依法应当注销证书的情形。</w:t>
      </w:r>
    </w:p>
    <w:p w14:paraId="230524DC">
      <w:pPr>
        <w:pStyle w:val="182"/>
        <w:rPr>
          <w:rFonts w:ascii="Times New Roman"/>
          <w:szCs w:val="20"/>
        </w:rPr>
      </w:pPr>
      <w:r>
        <w:t>证书注销后，持证人不得再从事兴隆咖啡师劳务品牌种植类人员（采摘）相关工作，且3年内不得重新申请能力评定</w:t>
      </w:r>
      <w:r>
        <w:rPr>
          <w:rFonts w:ascii="Times New Roman"/>
          <w:szCs w:val="20"/>
        </w:rPr>
        <w:t>。</w:t>
      </w:r>
    </w:p>
    <w:p w14:paraId="1763D13C">
      <w:pPr>
        <w:pStyle w:val="108"/>
        <w:spacing w:before="120" w:after="120"/>
      </w:pPr>
      <w:bookmarkStart w:id="145" w:name="_Toc200655851"/>
      <w:bookmarkStart w:id="146" w:name="_Toc198559353"/>
      <w:r>
        <w:t>证书补发</w:t>
      </w:r>
      <w:bookmarkEnd w:id="145"/>
      <w:bookmarkEnd w:id="146"/>
    </w:p>
    <w:p w14:paraId="6B5E9EF2">
      <w:pPr>
        <w:pStyle w:val="59"/>
        <w:ind w:firstLine="420"/>
      </w:pPr>
      <w:bookmarkStart w:id="147" w:name="_Toc198559354"/>
      <w:r>
        <w:t>申请补发</w:t>
      </w:r>
      <w:r>
        <w:rPr>
          <w:rFonts w:hint="eastAsia"/>
        </w:rPr>
        <w:t>证书应</w:t>
      </w:r>
      <w:r>
        <w:t>提交以下材料：</w:t>
      </w:r>
      <w:bookmarkEnd w:id="147"/>
    </w:p>
    <w:p w14:paraId="280493F0">
      <w:pPr>
        <w:pStyle w:val="135"/>
      </w:pPr>
      <w:r>
        <w:rPr>
          <w:rFonts w:hint="eastAsia"/>
        </w:rPr>
        <w:t>提交</w:t>
      </w:r>
      <w:r>
        <w:t>身份证明</w:t>
      </w:r>
      <w:r>
        <w:rPr>
          <w:rFonts w:hint="eastAsia"/>
        </w:rPr>
        <w:t>；</w:t>
      </w:r>
    </w:p>
    <w:p w14:paraId="52AC38ED">
      <w:pPr>
        <w:pStyle w:val="135"/>
      </w:pPr>
      <w:r>
        <w:t>遗失或损坏声明</w:t>
      </w:r>
      <w:r>
        <w:rPr>
          <w:rFonts w:hint="eastAsia"/>
        </w:rPr>
        <w:t>；</w:t>
      </w:r>
    </w:p>
    <w:p w14:paraId="3410B4AA">
      <w:pPr>
        <w:pStyle w:val="135"/>
      </w:pPr>
      <w:r>
        <w:t>近期免冠照片等。</w:t>
      </w:r>
    </w:p>
    <w:p w14:paraId="7FEFAC0E">
      <w:pPr>
        <w:pStyle w:val="182"/>
        <w:rPr>
          <w:rFonts w:ascii="Times New Roman"/>
          <w:szCs w:val="20"/>
        </w:rPr>
      </w:pPr>
      <w:r>
        <w:t>是否补发证书</w:t>
      </w:r>
      <w:r>
        <w:rPr>
          <w:rFonts w:hint="eastAsia"/>
        </w:rPr>
        <w:t>，由</w:t>
      </w:r>
      <w:r>
        <w:t>发证机构在收到补发申请后15个工作日内</w:t>
      </w:r>
      <w:r>
        <w:rPr>
          <w:rFonts w:hint="eastAsia"/>
        </w:rPr>
        <w:t>完成</w:t>
      </w:r>
      <w:r>
        <w:t>。补发的证书应注明“补发”字样，并保留原证书编号</w:t>
      </w:r>
      <w:r>
        <w:rPr>
          <w:rFonts w:ascii="Times New Roman"/>
          <w:szCs w:val="20"/>
        </w:rPr>
        <w:t>。</w:t>
      </w:r>
    </w:p>
    <w:p w14:paraId="28A88E2C">
      <w:pPr>
        <w:pStyle w:val="108"/>
        <w:spacing w:before="120" w:after="120"/>
      </w:pPr>
      <w:bookmarkStart w:id="148" w:name="_Toc200655852"/>
      <w:bookmarkStart w:id="149" w:name="_Toc198559355"/>
      <w:r>
        <w:t>证书信息变更</w:t>
      </w:r>
      <w:bookmarkEnd w:id="148"/>
      <w:bookmarkEnd w:id="149"/>
    </w:p>
    <w:p w14:paraId="6562F5D7">
      <w:pPr>
        <w:pStyle w:val="59"/>
        <w:ind w:firstLine="420"/>
      </w:pPr>
      <w:bookmarkStart w:id="150" w:name="_Toc198559356"/>
      <w:r>
        <w:rPr>
          <w:rFonts w:hint="eastAsia"/>
        </w:rPr>
        <w:t>需要</w:t>
      </w:r>
      <w:r>
        <w:t>变更</w:t>
      </w:r>
      <w:r>
        <w:rPr>
          <w:rFonts w:hint="eastAsia"/>
        </w:rPr>
        <w:t>证书信息</w:t>
      </w:r>
      <w:r>
        <w:t>需提交以下材料：</w:t>
      </w:r>
      <w:bookmarkEnd w:id="150"/>
    </w:p>
    <w:p w14:paraId="207E1A5D">
      <w:pPr>
        <w:pStyle w:val="135"/>
      </w:pPr>
      <w:r>
        <w:t>身份证明</w:t>
      </w:r>
      <w:r>
        <w:rPr>
          <w:rFonts w:hint="eastAsia"/>
        </w:rPr>
        <w:t>；</w:t>
      </w:r>
    </w:p>
    <w:p w14:paraId="20C632C9">
      <w:pPr>
        <w:pStyle w:val="135"/>
      </w:pPr>
      <w:r>
        <w:t>变更证明</w:t>
      </w:r>
      <w:r>
        <w:rPr>
          <w:rFonts w:hint="eastAsia"/>
        </w:rPr>
        <w:t>；</w:t>
      </w:r>
    </w:p>
    <w:p w14:paraId="6E970A0E">
      <w:pPr>
        <w:pStyle w:val="135"/>
      </w:pPr>
      <w:r>
        <w:t>原证书等。</w:t>
      </w:r>
    </w:p>
    <w:p w14:paraId="3369AE67">
      <w:pPr>
        <w:pStyle w:val="182"/>
      </w:pPr>
      <w:r>
        <w:t>是否</w:t>
      </w:r>
      <w:r>
        <w:rPr>
          <w:rFonts w:hint="eastAsia"/>
        </w:rPr>
        <w:t>同意</w:t>
      </w:r>
      <w:r>
        <w:t>变更证书</w:t>
      </w:r>
      <w:r>
        <w:rPr>
          <w:rFonts w:hint="eastAsia"/>
        </w:rPr>
        <w:t>，由</w:t>
      </w:r>
      <w:r>
        <w:t>发证机构应在收到变更申请后15个工作日</w:t>
      </w:r>
      <w:r>
        <w:rPr>
          <w:rFonts w:hint="eastAsia"/>
        </w:rPr>
        <w:t>完成</w:t>
      </w:r>
      <w:r>
        <w:t>。变更后的证书应注明“变更”字样，并保留原证书编号。</w:t>
      </w:r>
    </w:p>
    <w:p w14:paraId="78546DDF">
      <w:pPr>
        <w:pStyle w:val="59"/>
        <w:ind w:firstLine="199" w:firstLineChars="95"/>
      </w:pPr>
    </w:p>
    <w:p w14:paraId="5A07F6A7">
      <w:pPr>
        <w:pStyle w:val="59"/>
        <w:ind w:firstLine="199" w:firstLineChars="95"/>
        <w:sectPr>
          <w:pgSz w:w="11906" w:h="16838"/>
          <w:pgMar w:top="1928" w:right="1134" w:bottom="1134" w:left="1134" w:header="1418" w:footer="1134" w:gutter="284"/>
          <w:pgNumType w:start="1"/>
          <w:cols w:space="425" w:num="1"/>
          <w:formProt w:val="0"/>
          <w:docGrid w:linePitch="312" w:charSpace="0"/>
        </w:sectPr>
      </w:pPr>
    </w:p>
    <w:bookmarkEnd w:id="28"/>
    <w:p w14:paraId="7E8E3B35">
      <w:pPr>
        <w:pStyle w:val="201"/>
        <w:rPr>
          <w:rFonts w:hint="eastAsia"/>
        </w:rPr>
      </w:pPr>
    </w:p>
    <w:p w14:paraId="31825897">
      <w:pPr>
        <w:pStyle w:val="202"/>
      </w:pPr>
    </w:p>
    <w:p w14:paraId="708D67E7">
      <w:pPr>
        <w:pStyle w:val="79"/>
        <w:spacing w:after="120"/>
      </w:pPr>
      <w:bookmarkStart w:id="151" w:name="BookMark5"/>
      <w:r>
        <w:br w:type="textWrapping"/>
      </w:r>
      <w:bookmarkStart w:id="152" w:name="_Toc198559357"/>
      <w:bookmarkStart w:id="153" w:name="_Toc200655853"/>
      <w:r>
        <w:rPr>
          <w:rFonts w:hint="eastAsia"/>
        </w:rPr>
        <w:t>（资料性）</w:t>
      </w:r>
      <w:r>
        <w:br w:type="textWrapping"/>
      </w:r>
      <w:r>
        <w:rPr>
          <w:rFonts w:hint="eastAsia"/>
        </w:rPr>
        <w:t>兴隆咖啡基础知识</w:t>
      </w:r>
      <w:bookmarkEnd w:id="152"/>
      <w:bookmarkEnd w:id="153"/>
    </w:p>
    <w:p w14:paraId="7BD7FAF5">
      <w:pPr>
        <w:pStyle w:val="81"/>
        <w:spacing w:before="120" w:after="120"/>
      </w:pPr>
      <w:bookmarkStart w:id="154" w:name="_Toc198559358"/>
      <w:bookmarkStart w:id="155" w:name="_Toc200480768"/>
      <w:bookmarkStart w:id="156" w:name="_Toc200655854"/>
      <w:r>
        <w:t>兴隆咖啡基本知识</w:t>
      </w:r>
      <w:bookmarkEnd w:id="154"/>
      <w:bookmarkEnd w:id="155"/>
      <w:bookmarkEnd w:id="156"/>
    </w:p>
    <w:p w14:paraId="27C37487">
      <w:pPr>
        <w:pStyle w:val="82"/>
        <w:spacing w:before="120" w:after="120"/>
      </w:pPr>
      <w:bookmarkStart w:id="157" w:name="_Toc198559359"/>
      <w:r>
        <w:t>一般要求</w:t>
      </w:r>
      <w:bookmarkEnd w:id="157"/>
    </w:p>
    <w:p w14:paraId="105A2BB3">
      <w:pPr>
        <w:pStyle w:val="59"/>
        <w:ind w:firstLine="420"/>
      </w:pPr>
      <w:r>
        <w:rPr>
          <w:rFonts w:hint="eastAsia"/>
        </w:rPr>
        <w:t>兴隆咖啡生豆种源为罗巴斯塔咖啡（</w:t>
      </w:r>
      <w:r>
        <w:rPr>
          <w:rFonts w:hint="eastAsia"/>
          <w:i/>
          <w:iCs/>
        </w:rPr>
        <w:t>Coffea canephora</w:t>
      </w:r>
      <w:r>
        <w:rPr>
          <w:rFonts w:hint="eastAsia"/>
        </w:rPr>
        <w:t xml:space="preserve"> Pierre ex A.Froehner）。</w:t>
      </w:r>
      <w:r>
        <w:t>熟悉在</w:t>
      </w:r>
      <w:r>
        <w:rPr>
          <w:rFonts w:hint="eastAsia"/>
        </w:rPr>
        <w:t>兴隆咖啡地理标志保护范围的</w:t>
      </w:r>
      <w:r>
        <w:t>地区</w:t>
      </w:r>
      <w:r>
        <w:rPr>
          <w:rFonts w:hint="eastAsia"/>
        </w:rPr>
        <w:t>种植</w:t>
      </w:r>
      <w:r>
        <w:t>的</w:t>
      </w:r>
      <w:r>
        <w:rPr>
          <w:rFonts w:hint="eastAsia"/>
        </w:rPr>
        <w:t>罗巴斯塔咖啡</w:t>
      </w:r>
      <w:r>
        <w:t>生长习性、果实外观特点、成熟周期等，能准确识别适宜采摘时期。</w:t>
      </w:r>
    </w:p>
    <w:p w14:paraId="6E4B1E88">
      <w:pPr>
        <w:pStyle w:val="82"/>
        <w:spacing w:before="120" w:after="120"/>
      </w:pPr>
      <w:bookmarkStart w:id="158" w:name="_Toc198559360"/>
      <w:r>
        <w:t>品种特性</w:t>
      </w:r>
      <w:bookmarkEnd w:id="158"/>
    </w:p>
    <w:p w14:paraId="52DF4390">
      <w:pPr>
        <w:pStyle w:val="59"/>
        <w:ind w:firstLine="420"/>
      </w:pPr>
      <w:r>
        <w:rPr>
          <w:rFonts w:hint="eastAsia"/>
        </w:rPr>
        <w:t>树型开张，高6 m～8 m，主干粗壮，枝干木栓化较迟，分枝长而柔软，结实后下垂，叶片长而大，长椭圆形，质软而薄，有光泽，叶缘有波纹。果实圆形或扁圆形，成熟时深红色、紫红色，果皮和果肉较薄，紧贴种子不易分离。咖啡碱含量1.5%～2.5%，产量高，香味浓，极少感染锈病且不易受天牛为害。一般</w:t>
      </w:r>
      <w:r>
        <w:t>在每年</w:t>
      </w:r>
      <w:r>
        <w:rPr>
          <w:rFonts w:hint="eastAsia"/>
        </w:rPr>
        <w:t>10</w:t>
      </w:r>
      <w:r>
        <w:t>月至次年</w:t>
      </w:r>
      <w:r>
        <w:rPr>
          <w:rFonts w:hint="eastAsia"/>
        </w:rPr>
        <w:t>4</w:t>
      </w:r>
      <w:r>
        <w:t>月</w:t>
      </w:r>
      <w:r>
        <w:rPr>
          <w:rFonts w:hint="eastAsia"/>
        </w:rPr>
        <w:t>成熟</w:t>
      </w:r>
      <w:r>
        <w:t>，种植后2 ~ 3年可收获</w:t>
      </w:r>
      <w:r>
        <w:rPr>
          <w:rFonts w:hint="eastAsia"/>
        </w:rPr>
        <w:t>。</w:t>
      </w:r>
    </w:p>
    <w:p w14:paraId="5A2FC467">
      <w:pPr>
        <w:pStyle w:val="82"/>
        <w:spacing w:before="120" w:after="120"/>
      </w:pPr>
      <w:bookmarkStart w:id="159" w:name="_Toc198559361"/>
      <w:r>
        <w:t>果实成熟标志</w:t>
      </w:r>
      <w:bookmarkEnd w:id="159"/>
    </w:p>
    <w:p w14:paraId="758E7C21">
      <w:pPr>
        <w:pStyle w:val="59"/>
        <w:ind w:firstLine="420"/>
      </w:pPr>
      <w:r>
        <w:t>果实成熟标志如下：</w:t>
      </w:r>
    </w:p>
    <w:p w14:paraId="763D0096">
      <w:pPr>
        <w:pStyle w:val="135"/>
      </w:pPr>
      <w:r>
        <w:t>颜色变化：</w:t>
      </w:r>
      <w:r>
        <w:rPr>
          <w:rFonts w:hint="eastAsia"/>
        </w:rPr>
        <w:t>红果品种果皮</w:t>
      </w:r>
      <w:r>
        <w:t>从绿色变为</w:t>
      </w:r>
      <w:r>
        <w:rPr>
          <w:rFonts w:hint="eastAsia"/>
        </w:rPr>
        <w:t>全</w:t>
      </w:r>
      <w:r>
        <w:t>红。颜色均匀且鲜艳是成熟的重要标志之一</w:t>
      </w:r>
      <w:r>
        <w:rPr>
          <w:rFonts w:hint="eastAsia"/>
        </w:rPr>
        <w:t>；</w:t>
      </w:r>
    </w:p>
    <w:p w14:paraId="1D4C6B69">
      <w:pPr>
        <w:pStyle w:val="135"/>
      </w:pPr>
      <w:r>
        <w:t>硬度变化：成熟的咖啡果实硬度适中，用手指轻捏相对较硬，但仍有一定的可捏动空间</w:t>
      </w:r>
      <w:r>
        <w:rPr>
          <w:rFonts w:hint="eastAsia"/>
        </w:rPr>
        <w:t>。</w:t>
      </w:r>
    </w:p>
    <w:p w14:paraId="17C16ACC">
      <w:pPr>
        <w:pStyle w:val="82"/>
        <w:spacing w:before="120" w:after="120"/>
      </w:pPr>
      <w:bookmarkStart w:id="160" w:name="_Toc198559362"/>
      <w:r>
        <w:t>最佳采摘时间窗口</w:t>
      </w:r>
      <w:bookmarkEnd w:id="160"/>
    </w:p>
    <w:p w14:paraId="722ACACE">
      <w:pPr>
        <w:pStyle w:val="59"/>
        <w:ind w:firstLine="420"/>
      </w:pPr>
      <w:r>
        <w:t>应在10月至</w:t>
      </w:r>
      <w:r>
        <w:rPr>
          <w:rFonts w:hint="eastAsia"/>
        </w:rPr>
        <w:t>次年4月</w:t>
      </w:r>
      <w:r>
        <w:t>采摘</w:t>
      </w:r>
      <w:r>
        <w:rPr>
          <w:rFonts w:hint="eastAsia"/>
        </w:rPr>
        <w:t>。</w:t>
      </w:r>
    </w:p>
    <w:p w14:paraId="6EB3319A">
      <w:pPr>
        <w:pStyle w:val="81"/>
        <w:spacing w:before="120" w:after="120"/>
      </w:pPr>
      <w:bookmarkStart w:id="161" w:name="_Toc200655855"/>
      <w:bookmarkStart w:id="162" w:name="_Toc198559363"/>
      <w:bookmarkStart w:id="163" w:name="_Toc200480769"/>
      <w:r>
        <w:t>兴隆咖啡种植知识</w:t>
      </w:r>
      <w:bookmarkEnd w:id="161"/>
      <w:bookmarkEnd w:id="162"/>
      <w:bookmarkEnd w:id="163"/>
    </w:p>
    <w:p w14:paraId="6B82C905">
      <w:pPr>
        <w:pStyle w:val="82"/>
        <w:spacing w:before="120" w:after="120"/>
      </w:pPr>
      <w:bookmarkStart w:id="164" w:name="_Toc198559364"/>
      <w:r>
        <w:t>一般要求</w:t>
      </w:r>
      <w:bookmarkEnd w:id="164"/>
    </w:p>
    <w:p w14:paraId="1366AA33">
      <w:pPr>
        <w:pStyle w:val="59"/>
        <w:ind w:firstLine="420"/>
      </w:pPr>
      <w:r>
        <w:t>了解兴隆咖啡种植园的基本农事操作流程，包括施肥、灌溉、病虫害防治等环节对果实品质的影响，掌握采摘前田间管理要点，确保采摘果实质量。熟悉咖啡树的生长周期及不同生长阶段的管理重点，如花期、幼果期、成熟期的管理措施。</w:t>
      </w:r>
    </w:p>
    <w:p w14:paraId="649C10DC">
      <w:pPr>
        <w:pStyle w:val="82"/>
        <w:spacing w:before="120" w:after="120"/>
      </w:pPr>
      <w:bookmarkStart w:id="165" w:name="_Toc198559365"/>
      <w:r>
        <w:t>农事操作对果实品质的影响</w:t>
      </w:r>
      <w:bookmarkEnd w:id="165"/>
    </w:p>
    <w:p w14:paraId="523FB9D0">
      <w:pPr>
        <w:pStyle w:val="59"/>
        <w:ind w:firstLine="420"/>
      </w:pPr>
      <w:r>
        <w:t>农事操作对果实品质的影响如下：</w:t>
      </w:r>
    </w:p>
    <w:p w14:paraId="71C83DFF">
      <w:pPr>
        <w:pStyle w:val="177"/>
        <w:numPr>
          <w:ilvl w:val="0"/>
          <w:numId w:val="34"/>
        </w:numPr>
      </w:pPr>
      <w:r>
        <w:t>施肥：</w:t>
      </w:r>
    </w:p>
    <w:p w14:paraId="29FF4CE2">
      <w:pPr>
        <w:pStyle w:val="135"/>
        <w:tabs>
          <w:tab w:val="left" w:pos="1276"/>
          <w:tab w:val="clear" w:pos="851"/>
        </w:tabs>
        <w:ind w:firstLine="0"/>
      </w:pPr>
      <w:r>
        <w:t>在兴隆咖啡种植园，合理施肥是关键；</w:t>
      </w:r>
    </w:p>
    <w:p w14:paraId="42354DA6">
      <w:pPr>
        <w:pStyle w:val="135"/>
        <w:tabs>
          <w:tab w:val="left" w:pos="1276"/>
          <w:tab w:val="clear" w:pos="851"/>
        </w:tabs>
        <w:ind w:firstLine="0"/>
      </w:pPr>
      <w:r>
        <w:t>在咖啡树生长前期，以氮</w:t>
      </w:r>
      <w:r>
        <w:rPr>
          <w:rFonts w:hint="eastAsia"/>
        </w:rPr>
        <w:t>、磷</w:t>
      </w:r>
      <w:r>
        <w:t>肥为主，搭配适量钾肥，促进植株生长和树冠形成；</w:t>
      </w:r>
    </w:p>
    <w:p w14:paraId="11F0A117">
      <w:pPr>
        <w:pStyle w:val="135"/>
        <w:tabs>
          <w:tab w:val="left" w:pos="1276"/>
          <w:tab w:val="clear" w:pos="851"/>
        </w:tabs>
        <w:ind w:firstLine="0"/>
      </w:pPr>
      <w:r>
        <w:t>过量施肥会导致咖啡树徒长，果实品质下降；施肥不足则会使树体营养不良，果实发育不良</w:t>
      </w:r>
      <w:r>
        <w:rPr>
          <w:rFonts w:hint="eastAsia"/>
        </w:rPr>
        <w:t>。</w:t>
      </w:r>
    </w:p>
    <w:p w14:paraId="5760A348">
      <w:pPr>
        <w:pStyle w:val="177"/>
        <w:numPr>
          <w:ilvl w:val="0"/>
          <w:numId w:val="34"/>
        </w:numPr>
      </w:pPr>
      <w:r>
        <w:t>灌溉：</w:t>
      </w:r>
    </w:p>
    <w:p w14:paraId="3164D647">
      <w:pPr>
        <w:pStyle w:val="135"/>
        <w:tabs>
          <w:tab w:val="left" w:pos="1276"/>
          <w:tab w:val="clear" w:pos="851"/>
        </w:tabs>
        <w:ind w:firstLine="0"/>
      </w:pPr>
      <w:r>
        <w:t>兴隆地区气候湿润，但在干旱季节仍需合理灌溉；</w:t>
      </w:r>
    </w:p>
    <w:p w14:paraId="047D2276">
      <w:pPr>
        <w:pStyle w:val="135"/>
        <w:tabs>
          <w:tab w:val="left" w:pos="1276"/>
          <w:tab w:val="clear" w:pos="851"/>
        </w:tabs>
        <w:ind w:firstLine="0"/>
      </w:pPr>
      <w:r>
        <w:t>咖啡树在花期和</w:t>
      </w:r>
      <w:r>
        <w:rPr>
          <w:rFonts w:hint="eastAsia"/>
        </w:rPr>
        <w:t>幼果期</w:t>
      </w:r>
      <w:r>
        <w:t>对水分需求较大，保持土壤湿润至关重要；</w:t>
      </w:r>
    </w:p>
    <w:p w14:paraId="4F9FB2FA">
      <w:pPr>
        <w:pStyle w:val="135"/>
        <w:tabs>
          <w:tab w:val="left" w:pos="1276"/>
          <w:tab w:val="clear" w:pos="851"/>
        </w:tabs>
        <w:ind w:firstLine="0"/>
      </w:pPr>
      <w:r>
        <w:t>缺水会导致果实发育受阻，出现干瘪、变小等情况；</w:t>
      </w:r>
    </w:p>
    <w:p w14:paraId="3CA1FDCF">
      <w:pPr>
        <w:pStyle w:val="135"/>
        <w:tabs>
          <w:tab w:val="left" w:pos="1276"/>
          <w:tab w:val="clear" w:pos="851"/>
        </w:tabs>
        <w:ind w:firstLine="0"/>
      </w:pPr>
      <w:r>
        <w:t>而水分过多则易引发根系病害，影响果实品质；</w:t>
      </w:r>
    </w:p>
    <w:p w14:paraId="2D92B1A3">
      <w:pPr>
        <w:pStyle w:val="135"/>
        <w:tabs>
          <w:tab w:val="left" w:pos="1276"/>
          <w:tab w:val="clear" w:pos="851"/>
        </w:tabs>
        <w:ind w:firstLine="0"/>
      </w:pPr>
      <w:r>
        <w:t>采用滴灌、喷灌等节水灌溉方式，既能满足咖啡树水分需求，又能防止水资源浪费和土壤板结。</w:t>
      </w:r>
    </w:p>
    <w:p w14:paraId="6FB57FF8">
      <w:pPr>
        <w:pStyle w:val="177"/>
        <w:numPr>
          <w:ilvl w:val="0"/>
          <w:numId w:val="34"/>
        </w:numPr>
      </w:pPr>
      <w:r>
        <w:t>病虫害防治：</w:t>
      </w:r>
    </w:p>
    <w:p w14:paraId="20FB516B">
      <w:pPr>
        <w:pStyle w:val="135"/>
        <w:tabs>
          <w:tab w:val="left" w:pos="1276"/>
          <w:tab w:val="clear" w:pos="851"/>
        </w:tabs>
        <w:ind w:firstLine="0"/>
      </w:pPr>
      <w:r>
        <w:t>兴隆咖啡常见病虫害有咖啡</w:t>
      </w:r>
      <w:r>
        <w:rPr>
          <w:rFonts w:hint="eastAsia"/>
        </w:rPr>
        <w:t>黑枝小蠹</w:t>
      </w:r>
      <w:r>
        <w:t>、</w:t>
      </w:r>
      <w:r>
        <w:rPr>
          <w:rFonts w:hint="eastAsia"/>
        </w:rPr>
        <w:t>咖啡果小蠹、咖啡</w:t>
      </w:r>
      <w:r>
        <w:t>炭疽病、</w:t>
      </w:r>
      <w:r>
        <w:rPr>
          <w:rFonts w:hint="eastAsia"/>
        </w:rPr>
        <w:t>咖啡煤烟病</w:t>
      </w:r>
      <w:r>
        <w:t>等；</w:t>
      </w:r>
    </w:p>
    <w:p w14:paraId="646F4751">
      <w:pPr>
        <w:pStyle w:val="135"/>
        <w:tabs>
          <w:tab w:val="left" w:pos="1276"/>
          <w:tab w:val="clear" w:pos="851"/>
        </w:tabs>
        <w:ind w:firstLine="0"/>
      </w:pPr>
      <w:r>
        <w:t>防治时，坚持 “预防为主，综合防治” 原则；</w:t>
      </w:r>
    </w:p>
    <w:p w14:paraId="1C0FD947">
      <w:pPr>
        <w:pStyle w:val="135"/>
        <w:tabs>
          <w:tab w:val="left" w:pos="1276"/>
          <w:tab w:val="clear" w:pos="851"/>
        </w:tabs>
        <w:ind w:firstLine="0"/>
      </w:pPr>
      <w:r>
        <w:t>通过加强果园管理，保持良好通风透光条件，增强树体抵抗力；</w:t>
      </w:r>
    </w:p>
    <w:p w14:paraId="270F2D05">
      <w:pPr>
        <w:pStyle w:val="135"/>
        <w:tabs>
          <w:tab w:val="left" w:pos="1276"/>
          <w:tab w:val="clear" w:pos="851"/>
        </w:tabs>
        <w:ind w:firstLine="0"/>
      </w:pPr>
      <w:r>
        <w:t>定期巡查果园，及时发现病虫害迹象；</w:t>
      </w:r>
    </w:p>
    <w:p w14:paraId="0C3EE373">
      <w:pPr>
        <w:pStyle w:val="135"/>
        <w:tabs>
          <w:tab w:val="left" w:pos="1276"/>
          <w:tab w:val="clear" w:pos="851"/>
        </w:tabs>
        <w:ind w:firstLine="0"/>
      </w:pPr>
      <w:r>
        <w:t>采用生物防治（如释放害虫天敌）、物理防治（如悬挂黄板、诱虫灯）和化学防治（合理使用低毒、低残留农药）相结合的方法，减少病虫害对果实品质的影响。</w:t>
      </w:r>
    </w:p>
    <w:p w14:paraId="63A862F4">
      <w:pPr>
        <w:pStyle w:val="82"/>
        <w:spacing w:before="120" w:after="120"/>
      </w:pPr>
      <w:bookmarkStart w:id="166" w:name="_Toc198559366"/>
      <w:r>
        <w:t>采摘前田间管理要点</w:t>
      </w:r>
      <w:bookmarkEnd w:id="166"/>
    </w:p>
    <w:p w14:paraId="4DE922FA">
      <w:pPr>
        <w:pStyle w:val="59"/>
        <w:ind w:firstLine="420"/>
      </w:pPr>
      <w:r>
        <w:t>采摘前田间管理要点如下：</w:t>
      </w:r>
    </w:p>
    <w:p w14:paraId="03EF9FB9">
      <w:pPr>
        <w:pStyle w:val="135"/>
      </w:pPr>
      <w:r>
        <w:t xml:space="preserve">在采摘前2 </w:t>
      </w:r>
      <w:r>
        <w:rPr>
          <w:rFonts w:hint="eastAsia"/>
        </w:rPr>
        <w:t>～</w:t>
      </w:r>
      <w:r>
        <w:t xml:space="preserve"> 3个月，进行一次全面的修剪，去除枯枝、病枝和过密枝条，保证树体通风透光，促进果实成熟和糖分积累；</w:t>
      </w:r>
    </w:p>
    <w:p w14:paraId="1ACF39F3">
      <w:pPr>
        <w:pStyle w:val="135"/>
      </w:pPr>
      <w:r>
        <w:t>应加强土壤管理，进行中耕除草，疏松土壤，提高土壤透气性，促进根系生长和养分吸收。同时，根据土壤肥力和咖啡树生长状况，适量追施钾肥，增强果实品质</w:t>
      </w:r>
      <w:r>
        <w:rPr>
          <w:rFonts w:hint="eastAsia"/>
        </w:rPr>
        <w:t>；</w:t>
      </w:r>
    </w:p>
    <w:p w14:paraId="1AEEEC88">
      <w:pPr>
        <w:pStyle w:val="135"/>
      </w:pPr>
      <w:r>
        <w:rPr>
          <w:rFonts w:hint="eastAsia"/>
        </w:rPr>
        <w:t>加强病虫害防治，</w:t>
      </w:r>
      <w:r>
        <w:t>防止</w:t>
      </w:r>
      <w:r>
        <w:rPr>
          <w:rFonts w:hint="eastAsia"/>
        </w:rPr>
        <w:t>果实</w:t>
      </w:r>
      <w:r>
        <w:t>采摘前病虫害爆发，影响</w:t>
      </w:r>
      <w:r>
        <w:rPr>
          <w:rFonts w:hint="eastAsia"/>
        </w:rPr>
        <w:t>产量及品质</w:t>
      </w:r>
      <w:r>
        <w:t>。</w:t>
      </w:r>
    </w:p>
    <w:p w14:paraId="5AF4DB4C">
      <w:pPr>
        <w:pStyle w:val="82"/>
        <w:spacing w:before="120" w:after="120"/>
      </w:pPr>
      <w:bookmarkStart w:id="167" w:name="_Toc198559367"/>
      <w:r>
        <w:t>咖啡树生长周期及管理重点</w:t>
      </w:r>
      <w:bookmarkEnd w:id="167"/>
    </w:p>
    <w:p w14:paraId="7E8DCDCB">
      <w:pPr>
        <w:pStyle w:val="59"/>
        <w:ind w:firstLine="420"/>
      </w:pPr>
      <w:r>
        <w:t>咖啡树生长周期及管理重点如下：</w:t>
      </w:r>
    </w:p>
    <w:p w14:paraId="211CE720">
      <w:pPr>
        <w:pStyle w:val="135"/>
      </w:pPr>
      <w:r>
        <w:t>花期：兴隆咖啡花期一般在</w:t>
      </w:r>
      <w:r>
        <w:rPr>
          <w:rFonts w:hint="eastAsia"/>
        </w:rPr>
        <w:t>1</w:t>
      </w:r>
      <w:r>
        <w:t xml:space="preserve"> </w:t>
      </w:r>
      <w:r>
        <w:rPr>
          <w:rFonts w:hint="eastAsia"/>
        </w:rPr>
        <w:t>～</w:t>
      </w:r>
      <w:r>
        <w:t xml:space="preserve"> </w:t>
      </w:r>
      <w:r>
        <w:rPr>
          <w:rFonts w:hint="eastAsia"/>
        </w:rPr>
        <w:t>3</w:t>
      </w:r>
      <w:r>
        <w:t>月，此时要保证充足的水分和养分供应，可适当喷施硼、锌等微量元素叶面肥，提高坐果率。</w:t>
      </w:r>
    </w:p>
    <w:p w14:paraId="6CDB6C32">
      <w:pPr>
        <w:pStyle w:val="135"/>
      </w:pPr>
      <w:r>
        <w:t xml:space="preserve">幼果期：幼果期在4 </w:t>
      </w:r>
      <w:r>
        <w:rPr>
          <w:rFonts w:hint="eastAsia"/>
        </w:rPr>
        <w:t>～</w:t>
      </w:r>
      <w:r>
        <w:t>8月，应加强营养管理，增施磷、钾肥和有机肥，促进果实膨大。注意防治</w:t>
      </w:r>
      <w:r>
        <w:rPr>
          <w:rFonts w:hint="eastAsia"/>
        </w:rPr>
        <w:t>咖啡黑枝小蠹、</w:t>
      </w:r>
      <w:r>
        <w:t>咖啡果小蠹</w:t>
      </w:r>
      <w:r>
        <w:rPr>
          <w:rFonts w:hint="eastAsia"/>
        </w:rPr>
        <w:t>、咖啡</w:t>
      </w:r>
      <w:r>
        <w:t>炭疽病、</w:t>
      </w:r>
      <w:r>
        <w:rPr>
          <w:rFonts w:hint="eastAsia"/>
        </w:rPr>
        <w:t>咖啡煤烟病</w:t>
      </w:r>
      <w:r>
        <w:t>等病虫害，应定期检查果实生长情况，及时疏除畸形果、病果，保证果实均匀生长。</w:t>
      </w:r>
    </w:p>
    <w:p w14:paraId="38D2B57F">
      <w:pPr>
        <w:pStyle w:val="135"/>
      </w:pPr>
      <w:r>
        <w:t xml:space="preserve">成熟期：在果实成熟前1 </w:t>
      </w:r>
      <w:r>
        <w:rPr>
          <w:rFonts w:hint="eastAsia"/>
        </w:rPr>
        <w:t>～</w:t>
      </w:r>
      <w:r>
        <w:t>2个月，应减少氮肥施用，增加钾肥比例，促进果实糖分积累和转色。加强田间管理，保持果园清洁，及时清除杂草和落果，减少病虫害滋生。</w:t>
      </w:r>
    </w:p>
    <w:p w14:paraId="0689A261">
      <w:pPr>
        <w:pStyle w:val="82"/>
        <w:spacing w:before="120" w:after="120"/>
      </w:pPr>
      <w:bookmarkStart w:id="168" w:name="_Toc198559368"/>
      <w:r>
        <w:t>咖啡鲜果采摘基础知识</w:t>
      </w:r>
      <w:bookmarkEnd w:id="168"/>
    </w:p>
    <w:p w14:paraId="69272386">
      <w:pPr>
        <w:pStyle w:val="59"/>
        <w:ind w:firstLine="420"/>
      </w:pPr>
      <w:r>
        <w:t>掌握</w:t>
      </w:r>
      <w:r>
        <w:rPr>
          <w:rFonts w:hint="eastAsia"/>
        </w:rPr>
        <w:t>以下</w:t>
      </w:r>
      <w:r>
        <w:t>咖啡鲜果采摘的基本原则和技术要求：</w:t>
      </w:r>
    </w:p>
    <w:p w14:paraId="1D8AC60A">
      <w:pPr>
        <w:pStyle w:val="135"/>
      </w:pPr>
      <w:r>
        <w:t>采摘时机的判断：根据果实成熟度、天气条件及市场需求，选择最佳采摘时间；</w:t>
      </w:r>
    </w:p>
    <w:p w14:paraId="6FDC38DC">
      <w:pPr>
        <w:pStyle w:val="135"/>
      </w:pPr>
      <w:r>
        <w:t>采摘方法：</w:t>
      </w:r>
      <w:r>
        <w:rPr>
          <w:rFonts w:hint="eastAsia"/>
        </w:rPr>
        <w:t>宜分期分批适时采收，</w:t>
      </w:r>
      <w:r>
        <w:t>熟练使用手工采摘技术，</w:t>
      </w:r>
      <w:r>
        <w:rPr>
          <w:rFonts w:hint="eastAsia"/>
        </w:rPr>
        <w:t>不宜损伤未成熟果、树体、花芽；</w:t>
      </w:r>
    </w:p>
    <w:p w14:paraId="6E7E37D8">
      <w:pPr>
        <w:pStyle w:val="135"/>
      </w:pPr>
      <w:r>
        <w:t>分级</w:t>
      </w:r>
      <w:r>
        <w:rPr>
          <w:rFonts w:hint="eastAsia"/>
        </w:rPr>
        <w:t>存放</w:t>
      </w:r>
      <w:r>
        <w:t>：</w:t>
      </w:r>
      <w:r>
        <w:rPr>
          <w:rFonts w:hint="eastAsia"/>
        </w:rPr>
        <w:t>正常果实要与病果、过熟果、干果等次品果分开盛装，分别加工；</w:t>
      </w:r>
    </w:p>
    <w:p w14:paraId="7B315745">
      <w:pPr>
        <w:pStyle w:val="135"/>
      </w:pPr>
      <w:r>
        <w:t>采摘工具：了解并正确使用采摘工具（如采摘篮、</w:t>
      </w:r>
      <w:r>
        <w:rPr>
          <w:rFonts w:hint="eastAsia"/>
        </w:rPr>
        <w:t>袋子</w:t>
      </w:r>
      <w:r>
        <w:t>等），定期清洁和维护工具，确保其卫生和安全；</w:t>
      </w:r>
    </w:p>
    <w:p w14:paraId="2EEDF15F">
      <w:pPr>
        <w:pStyle w:val="135"/>
      </w:pPr>
      <w:r>
        <w:t>采摘效率与质量控制：在保证采摘质量的前提下，提高采摘效率，减少果实破损率和杂质混入率。</w:t>
      </w:r>
    </w:p>
    <w:p w14:paraId="7951945D">
      <w:pPr>
        <w:pStyle w:val="82"/>
        <w:spacing w:before="120" w:after="120"/>
      </w:pPr>
      <w:bookmarkStart w:id="169" w:name="_Toc198559369"/>
      <w:r>
        <w:t>食品安全知识</w:t>
      </w:r>
      <w:bookmarkEnd w:id="169"/>
    </w:p>
    <w:p w14:paraId="49B59F3B">
      <w:pPr>
        <w:pStyle w:val="59"/>
        <w:ind w:firstLine="420"/>
      </w:pPr>
      <w:r>
        <w:t>掌握基本的食品安全常识，知晓采摘过程中个人卫生、工具清洁、果实防污染措施，保证所采咖啡果实符合食品卫生安全要求：</w:t>
      </w:r>
    </w:p>
    <w:p w14:paraId="57AA868E">
      <w:pPr>
        <w:pStyle w:val="135"/>
      </w:pPr>
      <w:r>
        <w:t>个人卫生要求：采摘人员需穿戴干净的工作服，保持手部清洁，</w:t>
      </w:r>
      <w:r>
        <w:rPr>
          <w:rFonts w:hint="eastAsia"/>
        </w:rPr>
        <w:t>避免污染果实；</w:t>
      </w:r>
    </w:p>
    <w:p w14:paraId="43F8D38C">
      <w:pPr>
        <w:pStyle w:val="135"/>
      </w:pPr>
      <w:r>
        <w:t>工具卫生：采摘工具需定期清洗和消毒，防止交叉污染；</w:t>
      </w:r>
    </w:p>
    <w:p w14:paraId="3BD87328">
      <w:pPr>
        <w:pStyle w:val="135"/>
      </w:pPr>
      <w:r>
        <w:t>果实防污染措施：采摘过程中防止果实接触地面或污染源，使用干净的容器盛放果实，防止异物混入；</w:t>
      </w:r>
    </w:p>
    <w:p w14:paraId="79C6A270">
      <w:pPr>
        <w:pStyle w:val="135"/>
      </w:pPr>
      <w:r>
        <w:t>食品安全法规：了解相关食品安全法律法规，确保采摘过程符合国家及地方的食品安全标准。</w:t>
      </w:r>
    </w:p>
    <w:p w14:paraId="5452ABE1">
      <w:pPr>
        <w:pStyle w:val="81"/>
        <w:spacing w:before="120" w:after="120"/>
      </w:pPr>
      <w:bookmarkStart w:id="170" w:name="_Toc200655856"/>
      <w:bookmarkStart w:id="171" w:name="_Toc198559370"/>
      <w:bookmarkStart w:id="172" w:name="_Toc200480770"/>
      <w:r>
        <w:t>种植技能</w:t>
      </w:r>
      <w:bookmarkEnd w:id="170"/>
      <w:bookmarkEnd w:id="171"/>
      <w:bookmarkEnd w:id="172"/>
    </w:p>
    <w:p w14:paraId="0298C70F">
      <w:pPr>
        <w:pStyle w:val="82"/>
        <w:spacing w:before="120" w:after="120"/>
      </w:pPr>
      <w:bookmarkStart w:id="173" w:name="_Toc198559371"/>
      <w:r>
        <w:t>育苗技术体系</w:t>
      </w:r>
      <w:bookmarkEnd w:id="173"/>
    </w:p>
    <w:p w14:paraId="3A1948A4">
      <w:pPr>
        <w:pStyle w:val="84"/>
        <w:spacing w:before="120" w:after="120"/>
      </w:pPr>
      <w:r>
        <w:rPr>
          <w:rFonts w:hint="eastAsia"/>
        </w:rPr>
        <w:t>实生苗繁育</w:t>
      </w:r>
    </w:p>
    <w:p w14:paraId="77048C46">
      <w:pPr>
        <w:pStyle w:val="217"/>
      </w:pPr>
      <w:r>
        <w:t>种子处理技术要求</w:t>
      </w:r>
      <w:r>
        <w:rPr>
          <w:rFonts w:hint="eastAsia"/>
        </w:rPr>
        <w:t>：</w:t>
      </w:r>
    </w:p>
    <w:p w14:paraId="04866254">
      <w:pPr>
        <w:pStyle w:val="135"/>
        <w:rPr>
          <w:rFonts w:ascii="Times New Roman"/>
        </w:rPr>
      </w:pPr>
      <w:r>
        <w:rPr>
          <w:rFonts w:hint="eastAsia" w:ascii="Times New Roman"/>
        </w:rPr>
        <w:t>采种</w:t>
      </w:r>
      <w:r>
        <w:rPr>
          <w:rFonts w:ascii="Times New Roman"/>
        </w:rPr>
        <w:t>：</w:t>
      </w:r>
      <w:r>
        <w:rPr>
          <w:rFonts w:hint="eastAsia" w:ascii="Times New Roman"/>
        </w:rPr>
        <w:t>在果实盛熟期，在高产优良母树上采摘充分成熟、果形正常且饱满的果实</w:t>
      </w:r>
      <w:r>
        <w:rPr>
          <w:rFonts w:ascii="Times New Roman"/>
        </w:rPr>
        <w:t>；</w:t>
      </w:r>
    </w:p>
    <w:p w14:paraId="3276DE99">
      <w:pPr>
        <w:pStyle w:val="135"/>
        <w:rPr>
          <w:rFonts w:ascii="Times New Roman"/>
        </w:rPr>
      </w:pPr>
      <w:r>
        <w:rPr>
          <w:rFonts w:hint="eastAsia" w:ascii="Times New Roman"/>
        </w:rPr>
        <w:t>脱皮脱胶</w:t>
      </w:r>
      <w:r>
        <w:rPr>
          <w:rFonts w:ascii="Times New Roman"/>
        </w:rPr>
        <w:t>：</w:t>
      </w:r>
      <w:r>
        <w:rPr>
          <w:rFonts w:hint="eastAsia" w:ascii="Times New Roman"/>
        </w:rPr>
        <w:t>机械或手工脱去外果皮和部分中果皮（果胶），常温下清水浸泡24 h～72 h，待中果皮（果胶，胶）发酵完成后，清水将所有残留在种皮表面的中果皮（果胶，胶质）清洗干净，沥干水分；</w:t>
      </w:r>
    </w:p>
    <w:p w14:paraId="15466242">
      <w:pPr>
        <w:pStyle w:val="135"/>
        <w:rPr>
          <w:rFonts w:ascii="Times New Roman"/>
        </w:rPr>
      </w:pPr>
      <w:r>
        <w:rPr>
          <w:rFonts w:hint="eastAsia" w:ascii="Times New Roman"/>
        </w:rPr>
        <w:t>干燥：置于阴凉通风的环境中自然风干燥至种子含水率20%。</w:t>
      </w:r>
    </w:p>
    <w:p w14:paraId="48344D2D">
      <w:pPr>
        <w:pStyle w:val="217"/>
      </w:pPr>
      <w:r>
        <w:rPr>
          <w:rFonts w:hint="eastAsia"/>
        </w:rPr>
        <w:t>沙床催芽按照 NY/T 3329 的规定执行。</w:t>
      </w:r>
    </w:p>
    <w:p w14:paraId="198190F7">
      <w:pPr>
        <w:pStyle w:val="217"/>
      </w:pPr>
      <w:r>
        <w:rPr>
          <w:rFonts w:hint="eastAsia"/>
        </w:rPr>
        <w:t>装袋移植应满足：</w:t>
      </w:r>
    </w:p>
    <w:p w14:paraId="1AA31080">
      <w:pPr>
        <w:pStyle w:val="135"/>
      </w:pPr>
      <w:r>
        <w:t>基质配比：</w:t>
      </w:r>
      <w:r>
        <w:rPr>
          <w:rFonts w:hint="eastAsia"/>
        </w:rPr>
        <w:t>以2～3份腐熟有机肥，7～8份表土和0.2份过磷酸钙或钙镁磷肥加适量腐熟椰糠或腐殖质拌匀配成；</w:t>
      </w:r>
    </w:p>
    <w:p w14:paraId="7CBCBDE3">
      <w:pPr>
        <w:pStyle w:val="135"/>
      </w:pPr>
      <w:r>
        <w:rPr>
          <w:rFonts w:hint="eastAsia"/>
        </w:rPr>
        <w:t>装袋与摆放</w:t>
      </w:r>
      <w:r>
        <w:t>：</w:t>
      </w:r>
      <w:r>
        <w:rPr>
          <w:rFonts w:hint="eastAsia"/>
        </w:rPr>
        <w:t>选用黑色塑料营养袋，长12 cm～20 cm、宽10 cm～15 cm，营养土装袋后按苗床位置成行摆整齐，4～5 袋排成一排，每行四周底部培土固定。苗床间留 40 cm～50 cm 的小路</w:t>
      </w:r>
      <w:r>
        <w:t>；</w:t>
      </w:r>
    </w:p>
    <w:p w14:paraId="6FCDA0ED">
      <w:pPr>
        <w:pStyle w:val="135"/>
      </w:pPr>
      <w:r>
        <w:rPr>
          <w:rFonts w:hint="eastAsia"/>
        </w:rPr>
        <w:t>移苗：按照DB 46/T 631的规定执行。</w:t>
      </w:r>
    </w:p>
    <w:p w14:paraId="3EA3A0DB">
      <w:pPr>
        <w:pStyle w:val="84"/>
        <w:spacing w:before="120" w:after="120"/>
      </w:pPr>
      <w:r>
        <w:rPr>
          <w:rFonts w:hint="eastAsia"/>
        </w:rPr>
        <w:t>嫁接苗繁育</w:t>
      </w:r>
    </w:p>
    <w:p w14:paraId="265EB5AC">
      <w:pPr>
        <w:pStyle w:val="59"/>
        <w:ind w:firstLine="420"/>
      </w:pPr>
      <w:r>
        <w:rPr>
          <w:rFonts w:hint="eastAsia"/>
        </w:rPr>
        <w:t>嫁接苗繁育应：</w:t>
      </w:r>
    </w:p>
    <w:p w14:paraId="1A6C3F3C">
      <w:pPr>
        <w:pStyle w:val="135"/>
      </w:pPr>
      <w:r>
        <w:rPr>
          <w:rFonts w:hint="eastAsia"/>
        </w:rPr>
        <w:t>芽条选取</w:t>
      </w:r>
      <w:r>
        <w:t>：</w:t>
      </w:r>
      <w:r>
        <w:rPr>
          <w:rFonts w:hint="eastAsia"/>
        </w:rPr>
        <w:t>从采穗圃母树剪取7月龄、绿色未木栓化且粗壮、节间短、芽点饱满的直生枝为芽条。选取顶芽下部第2～5节作为芽条，剪去一级分枝和叶片，保留叶柄。芽条以当天剪取当天嫁接为宜；</w:t>
      </w:r>
    </w:p>
    <w:p w14:paraId="45C299AB">
      <w:pPr>
        <w:pStyle w:val="135"/>
      </w:pPr>
      <w:r>
        <w:rPr>
          <w:rFonts w:hint="eastAsia"/>
        </w:rPr>
        <w:t>嫁接方法：分单芽腹接和双芽腹接，按照 NY/T 3329 的规定执行。</w:t>
      </w:r>
    </w:p>
    <w:p w14:paraId="558E09CA">
      <w:pPr>
        <w:pStyle w:val="84"/>
        <w:spacing w:before="120" w:after="120"/>
      </w:pPr>
      <w:r>
        <w:rPr>
          <w:rFonts w:hint="eastAsia"/>
        </w:rPr>
        <w:t>苗圃管理</w:t>
      </w:r>
    </w:p>
    <w:p w14:paraId="451A6DF6">
      <w:pPr>
        <w:pStyle w:val="59"/>
        <w:ind w:firstLine="420"/>
      </w:pPr>
      <w:r>
        <w:rPr>
          <w:rFonts w:hint="eastAsia"/>
        </w:rPr>
        <w:t>水肥管理、土壤管理、病虫害防治和炼苗按照 NY/T 3329 的规定执行</w:t>
      </w:r>
    </w:p>
    <w:p w14:paraId="21F95F92">
      <w:pPr>
        <w:pStyle w:val="84"/>
        <w:spacing w:before="120" w:after="120"/>
      </w:pPr>
      <w:r>
        <w:t>炼苗管理</w:t>
      </w:r>
    </w:p>
    <w:p w14:paraId="76D41869">
      <w:pPr>
        <w:pStyle w:val="59"/>
        <w:ind w:firstLine="420"/>
      </w:pPr>
      <w:r>
        <w:rPr>
          <w:rFonts w:hint="eastAsia"/>
        </w:rPr>
        <w:t>炼苗要求：</w:t>
      </w:r>
    </w:p>
    <w:p w14:paraId="41B97313">
      <w:pPr>
        <w:pStyle w:val="135"/>
        <w:rPr>
          <w:rFonts w:ascii="Times New Roman"/>
        </w:rPr>
      </w:pPr>
      <w:r>
        <w:rPr>
          <w:rFonts w:ascii="Times New Roman"/>
        </w:rPr>
        <w:t>渐进式炼苗：出圃前20天开始，逐日增加1小时自然光照，昼夜温差逐步扩大至8 ℃；</w:t>
      </w:r>
    </w:p>
    <w:p w14:paraId="02806E5B">
      <w:pPr>
        <w:pStyle w:val="135"/>
        <w:rPr>
          <w:rFonts w:ascii="Times New Roman"/>
        </w:rPr>
      </w:pPr>
      <w:r>
        <w:rPr>
          <w:rFonts w:ascii="Times New Roman"/>
        </w:rPr>
        <w:t>抗逆训练：交替进行干旱锻炼（基质含水量降至40%维持48h）和低温锻炼（15 ℃处72 h）。</w:t>
      </w:r>
    </w:p>
    <w:p w14:paraId="1416535B">
      <w:pPr>
        <w:pStyle w:val="84"/>
        <w:spacing w:before="120" w:after="120"/>
      </w:pPr>
      <w:r>
        <w:t>出圃标准</w:t>
      </w:r>
    </w:p>
    <w:p w14:paraId="378889AD">
      <w:pPr>
        <w:pStyle w:val="59"/>
        <w:ind w:firstLine="420"/>
      </w:pPr>
      <w:r>
        <w:t>出圃要求</w:t>
      </w:r>
      <w:r>
        <w:rPr>
          <w:rFonts w:hint="eastAsia"/>
        </w:rPr>
        <w:t>：</w:t>
      </w:r>
    </w:p>
    <w:p w14:paraId="0C16847F">
      <w:pPr>
        <w:pStyle w:val="135"/>
        <w:rPr>
          <w:rFonts w:ascii="Times New Roman"/>
        </w:rPr>
      </w:pPr>
      <w:r>
        <w:rPr>
          <w:rFonts w:hint="eastAsia" w:ascii="Times New Roman"/>
        </w:rPr>
        <w:t>种子苗</w:t>
      </w:r>
      <w:r>
        <w:rPr>
          <w:rFonts w:ascii="Times New Roman"/>
        </w:rPr>
        <w:t>株高2</w:t>
      </w:r>
      <w:r>
        <w:rPr>
          <w:rFonts w:hint="eastAsia" w:ascii="Times New Roman"/>
        </w:rPr>
        <w:t>0</w:t>
      </w:r>
      <w:r>
        <w:rPr>
          <w:rFonts w:ascii="Times New Roman"/>
        </w:rPr>
        <w:t>~</w:t>
      </w:r>
      <w:r>
        <w:rPr>
          <w:rFonts w:hint="eastAsia" w:ascii="Times New Roman"/>
        </w:rPr>
        <w:t xml:space="preserve">45 </w:t>
      </w:r>
      <w:r>
        <w:rPr>
          <w:rFonts w:ascii="Times New Roman"/>
        </w:rPr>
        <w:t>cm，茎粗</w:t>
      </w:r>
      <w:r>
        <w:rPr>
          <w:rFonts w:hAnsi="宋体"/>
        </w:rPr>
        <w:t>≥</w:t>
      </w:r>
      <w:r>
        <w:rPr>
          <w:rFonts w:ascii="Times New Roman"/>
        </w:rPr>
        <w:t>4 mm；</w:t>
      </w:r>
      <w:r>
        <w:rPr>
          <w:rFonts w:hint="eastAsia" w:ascii="Times New Roman"/>
        </w:rPr>
        <w:t>叶片数5</w:t>
      </w:r>
      <w:r>
        <w:rPr>
          <w:rFonts w:ascii="Times New Roman"/>
        </w:rPr>
        <w:t>~</w:t>
      </w:r>
      <w:r>
        <w:rPr>
          <w:rFonts w:hint="eastAsia" w:ascii="Times New Roman"/>
        </w:rPr>
        <w:t>10对，分枝</w:t>
      </w:r>
      <w:r>
        <w:rPr>
          <w:rFonts w:hAnsi="宋体"/>
        </w:rPr>
        <w:t>≤</w:t>
      </w:r>
      <w:r>
        <w:rPr>
          <w:rFonts w:hint="eastAsia" w:hAnsi="宋体"/>
        </w:rPr>
        <w:t>1对</w:t>
      </w:r>
      <w:r>
        <w:rPr>
          <w:rFonts w:hint="eastAsia" w:ascii="Times New Roman"/>
        </w:rPr>
        <w:t>；</w:t>
      </w:r>
    </w:p>
    <w:p w14:paraId="56E5BD06">
      <w:pPr>
        <w:pStyle w:val="135"/>
        <w:rPr>
          <w:rFonts w:ascii="Times New Roman"/>
        </w:rPr>
      </w:pPr>
      <w:r>
        <w:rPr>
          <w:rFonts w:hint="eastAsia" w:ascii="Times New Roman"/>
        </w:rPr>
        <w:t>嫁接苗株高11</w:t>
      </w:r>
      <w:r>
        <w:rPr>
          <w:rFonts w:ascii="Times New Roman"/>
        </w:rPr>
        <w:t>~</w:t>
      </w:r>
      <w:r>
        <w:rPr>
          <w:rFonts w:hint="eastAsia" w:ascii="Times New Roman"/>
        </w:rPr>
        <w:t xml:space="preserve">35 </w:t>
      </w:r>
      <w:r>
        <w:rPr>
          <w:rFonts w:ascii="Times New Roman"/>
        </w:rPr>
        <w:t>cm</w:t>
      </w:r>
      <w:r>
        <w:rPr>
          <w:rFonts w:hint="eastAsia" w:ascii="Times New Roman"/>
        </w:rPr>
        <w:t>，茎粗</w:t>
      </w:r>
      <w:r>
        <w:rPr>
          <w:rFonts w:hAnsi="宋体"/>
        </w:rPr>
        <w:t>≥</w:t>
      </w:r>
      <w:r>
        <w:rPr>
          <w:rFonts w:hint="eastAsia" w:ascii="Times New Roman"/>
        </w:rPr>
        <w:t>3</w:t>
      </w:r>
      <w:r>
        <w:rPr>
          <w:rFonts w:ascii="Times New Roman"/>
        </w:rPr>
        <w:t xml:space="preserve"> mm</w:t>
      </w:r>
      <w:r>
        <w:rPr>
          <w:rFonts w:hint="eastAsia" w:ascii="Times New Roman"/>
        </w:rPr>
        <w:t>；叶片数3</w:t>
      </w:r>
      <w:r>
        <w:rPr>
          <w:rFonts w:ascii="Times New Roman"/>
        </w:rPr>
        <w:t>~</w:t>
      </w:r>
      <w:r>
        <w:rPr>
          <w:rFonts w:hint="eastAsia" w:ascii="Times New Roman"/>
        </w:rPr>
        <w:t>6对，分枝1</w:t>
      </w:r>
      <w:r>
        <w:rPr>
          <w:rFonts w:ascii="Times New Roman"/>
        </w:rPr>
        <w:t>~</w:t>
      </w:r>
      <w:r>
        <w:rPr>
          <w:rFonts w:hint="eastAsia" w:ascii="Times New Roman"/>
        </w:rPr>
        <w:t>6对</w:t>
      </w:r>
      <w:r>
        <w:rPr>
          <w:rFonts w:ascii="Times New Roman"/>
        </w:rPr>
        <w:t>。</w:t>
      </w:r>
    </w:p>
    <w:p w14:paraId="4691748F">
      <w:pPr>
        <w:pStyle w:val="82"/>
        <w:spacing w:before="120" w:after="120"/>
      </w:pPr>
      <w:bookmarkStart w:id="174" w:name="_Toc198559372"/>
      <w:r>
        <w:t>移栽定植技术</w:t>
      </w:r>
      <w:bookmarkEnd w:id="174"/>
    </w:p>
    <w:p w14:paraId="55316292">
      <w:pPr>
        <w:pStyle w:val="84"/>
        <w:spacing w:before="120" w:after="120"/>
      </w:pPr>
      <w:r>
        <w:t>地块准备</w:t>
      </w:r>
    </w:p>
    <w:p w14:paraId="629F65F6">
      <w:pPr>
        <w:pStyle w:val="59"/>
        <w:ind w:firstLine="420"/>
      </w:pPr>
      <w:r>
        <w:t>地块应满足</w:t>
      </w:r>
      <w:r>
        <w:rPr>
          <w:rFonts w:hint="eastAsia"/>
        </w:rPr>
        <w:t>：</w:t>
      </w:r>
    </w:p>
    <w:p w14:paraId="18176FED">
      <w:pPr>
        <w:pStyle w:val="135"/>
        <w:rPr>
          <w:rFonts w:ascii="Times New Roman"/>
        </w:rPr>
      </w:pPr>
      <w:r>
        <w:rPr>
          <w:rFonts w:ascii="Times New Roman"/>
        </w:rPr>
        <w:t>种植穴规格：60</w:t>
      </w:r>
      <w:r>
        <w:rPr>
          <w:rFonts w:hint="eastAsia" w:ascii="Times New Roman"/>
        </w:rPr>
        <w:t xml:space="preserve"> </w:t>
      </w:r>
      <w:r>
        <w:rPr>
          <w:rFonts w:ascii="Times New Roman"/>
        </w:rPr>
        <w:t>cm</w:t>
      </w:r>
      <w:r>
        <w:rPr>
          <w:rFonts w:hint="eastAsia" w:ascii="Times New Roman"/>
        </w:rPr>
        <w:t xml:space="preserve"> </w:t>
      </w:r>
      <w:r>
        <w:rPr>
          <w:rFonts w:ascii="Times New Roman"/>
        </w:rPr>
        <w:t>×</w:t>
      </w:r>
      <w:r>
        <w:rPr>
          <w:rFonts w:hint="eastAsia" w:ascii="Times New Roman"/>
        </w:rPr>
        <w:t xml:space="preserve"> </w:t>
      </w:r>
      <w:r>
        <w:rPr>
          <w:rFonts w:ascii="Times New Roman"/>
        </w:rPr>
        <w:t>60</w:t>
      </w:r>
      <w:r>
        <w:rPr>
          <w:rFonts w:hint="eastAsia" w:ascii="Times New Roman"/>
        </w:rPr>
        <w:t xml:space="preserve"> </w:t>
      </w:r>
      <w:r>
        <w:rPr>
          <w:rFonts w:ascii="Times New Roman"/>
        </w:rPr>
        <w:t>cm</w:t>
      </w:r>
      <w:r>
        <w:rPr>
          <w:rFonts w:hint="eastAsia" w:ascii="Times New Roman"/>
        </w:rPr>
        <w:t xml:space="preserve"> </w:t>
      </w:r>
      <w:r>
        <w:rPr>
          <w:rFonts w:ascii="Times New Roman"/>
        </w:rPr>
        <w:t>×</w:t>
      </w:r>
      <w:r>
        <w:rPr>
          <w:rFonts w:hint="eastAsia" w:ascii="Times New Roman"/>
        </w:rPr>
        <w:t xml:space="preserve"> </w:t>
      </w:r>
      <w:r>
        <w:rPr>
          <w:rFonts w:ascii="Times New Roman"/>
        </w:rPr>
        <w:t>50</w:t>
      </w:r>
      <w:r>
        <w:rPr>
          <w:rFonts w:hint="eastAsia" w:ascii="Times New Roman"/>
        </w:rPr>
        <w:t xml:space="preserve"> </w:t>
      </w:r>
      <w:r>
        <w:rPr>
          <w:rFonts w:ascii="Times New Roman"/>
        </w:rPr>
        <w:t>cm，穴间距2.5</w:t>
      </w:r>
      <w:r>
        <w:rPr>
          <w:rFonts w:hint="eastAsia" w:ascii="Times New Roman"/>
        </w:rPr>
        <w:t xml:space="preserve"> </w:t>
      </w:r>
      <w:r>
        <w:rPr>
          <w:rFonts w:ascii="Times New Roman"/>
        </w:rPr>
        <w:t>m</w:t>
      </w:r>
      <w:r>
        <w:rPr>
          <w:rFonts w:hint="eastAsia" w:ascii="Times New Roman"/>
        </w:rPr>
        <w:t xml:space="preserve"> </w:t>
      </w:r>
      <w:r>
        <w:rPr>
          <w:rFonts w:ascii="Times New Roman"/>
        </w:rPr>
        <w:t>×</w:t>
      </w:r>
      <w:r>
        <w:rPr>
          <w:rFonts w:hint="eastAsia" w:ascii="Times New Roman"/>
        </w:rPr>
        <w:t xml:space="preserve"> </w:t>
      </w:r>
      <w:r>
        <w:rPr>
          <w:rFonts w:ascii="Times New Roman"/>
        </w:rPr>
        <w:t>3</w:t>
      </w:r>
      <w:r>
        <w:rPr>
          <w:rFonts w:hint="eastAsia" w:ascii="Times New Roman"/>
        </w:rPr>
        <w:t xml:space="preserve"> </w:t>
      </w:r>
      <w:r>
        <w:rPr>
          <w:rFonts w:ascii="Times New Roman"/>
        </w:rPr>
        <w:t>m长方形布局</w:t>
      </w:r>
      <w:r>
        <w:rPr>
          <w:rFonts w:hint="eastAsia"/>
        </w:rPr>
        <w:t>；</w:t>
      </w:r>
    </w:p>
    <w:p w14:paraId="562D9D9B">
      <w:pPr>
        <w:pStyle w:val="135"/>
        <w:rPr>
          <w:rFonts w:ascii="Times New Roman"/>
        </w:rPr>
      </w:pPr>
      <w:r>
        <w:rPr>
          <w:rFonts w:ascii="Times New Roman"/>
        </w:rPr>
        <w:t>基肥施用：每穴施入腐熟</w:t>
      </w:r>
      <w:r>
        <w:rPr>
          <w:rFonts w:hint="eastAsia" w:ascii="Times New Roman"/>
        </w:rPr>
        <w:t xml:space="preserve">粪肥5 </w:t>
      </w:r>
      <w:r>
        <w:rPr>
          <w:rFonts w:ascii="Times New Roman"/>
        </w:rPr>
        <w:t>kg+</w:t>
      </w:r>
      <w:r>
        <w:rPr>
          <w:rFonts w:hint="eastAsia" w:ascii="Times New Roman"/>
        </w:rPr>
        <w:t xml:space="preserve">尿素150 </w:t>
      </w:r>
      <w:r>
        <w:rPr>
          <w:rFonts w:ascii="Times New Roman"/>
        </w:rPr>
        <w:t>g+</w:t>
      </w:r>
      <w:r>
        <w:rPr>
          <w:rFonts w:hint="eastAsia" w:ascii="Times New Roman"/>
        </w:rPr>
        <w:t>钙镁磷肥</w:t>
      </w:r>
      <w:r>
        <w:rPr>
          <w:rFonts w:ascii="Times New Roman"/>
        </w:rPr>
        <w:t>1</w:t>
      </w:r>
      <w:r>
        <w:rPr>
          <w:rFonts w:hint="eastAsia" w:ascii="Times New Roman"/>
        </w:rPr>
        <w:t>5</w:t>
      </w:r>
      <w:r>
        <w:rPr>
          <w:rFonts w:ascii="Times New Roman"/>
        </w:rPr>
        <w:t>0</w:t>
      </w:r>
      <w:r>
        <w:rPr>
          <w:rFonts w:hint="eastAsia" w:ascii="Times New Roman"/>
        </w:rPr>
        <w:t xml:space="preserve"> </w:t>
      </w:r>
      <w:r>
        <w:rPr>
          <w:rFonts w:ascii="Times New Roman"/>
        </w:rPr>
        <w:t>g；</w:t>
      </w:r>
    </w:p>
    <w:p w14:paraId="2F041A3A">
      <w:pPr>
        <w:pStyle w:val="135"/>
      </w:pPr>
      <w:r>
        <w:rPr>
          <w:rFonts w:hint="eastAsia"/>
        </w:rPr>
        <w:t>施肥回穴：定植前半个月，将有机肥、尿素、磷肥与表土混匀回穴，回填后土面应高于地面15 cm以上</w:t>
      </w:r>
    </w:p>
    <w:p w14:paraId="4B6EF185">
      <w:pPr>
        <w:pStyle w:val="84"/>
        <w:spacing w:before="120" w:after="120"/>
      </w:pPr>
      <w:r>
        <w:t>移栽技术</w:t>
      </w:r>
    </w:p>
    <w:p w14:paraId="7A345BF8">
      <w:pPr>
        <w:pStyle w:val="59"/>
        <w:ind w:firstLine="420"/>
      </w:pPr>
      <w:r>
        <w:rPr>
          <w:rFonts w:hint="eastAsia"/>
        </w:rPr>
        <w:t>移栽应满足：</w:t>
      </w:r>
    </w:p>
    <w:p w14:paraId="45B9456F">
      <w:pPr>
        <w:pStyle w:val="135"/>
        <w:rPr>
          <w:rFonts w:ascii="Times New Roman"/>
        </w:rPr>
      </w:pPr>
      <w:r>
        <w:rPr>
          <w:rFonts w:ascii="Times New Roman"/>
        </w:rPr>
        <w:t>最佳时机：</w:t>
      </w:r>
      <w:r>
        <w:rPr>
          <w:rFonts w:hint="eastAsia" w:ascii="Times New Roman"/>
        </w:rPr>
        <w:t>3～5月或9～10月</w:t>
      </w:r>
      <w:r>
        <w:rPr>
          <w:rFonts w:ascii="Times New Roman"/>
        </w:rPr>
        <w:t>，</w:t>
      </w:r>
      <w:r>
        <w:rPr>
          <w:rFonts w:hint="eastAsia" w:ascii="Times New Roman"/>
        </w:rPr>
        <w:t>选择阴天或晴天下午</w:t>
      </w:r>
      <w:r>
        <w:rPr>
          <w:rFonts w:ascii="Times New Roman"/>
        </w:rPr>
        <w:t>；</w:t>
      </w:r>
    </w:p>
    <w:p w14:paraId="6FA99567">
      <w:pPr>
        <w:pStyle w:val="135"/>
        <w:rPr>
          <w:rFonts w:ascii="Times New Roman"/>
        </w:rPr>
      </w:pPr>
      <w:r>
        <w:rPr>
          <w:rFonts w:ascii="Times New Roman"/>
        </w:rPr>
        <w:t>带土移栽：保持根系土球完整，根系损伤率＜5%；</w:t>
      </w:r>
    </w:p>
    <w:p w14:paraId="57D587B4">
      <w:pPr>
        <w:pStyle w:val="135"/>
        <w:rPr>
          <w:rFonts w:ascii="Times New Roman"/>
        </w:rPr>
      </w:pPr>
      <w:r>
        <w:rPr>
          <w:rFonts w:ascii="Times New Roman"/>
        </w:rPr>
        <w:t>定植</w:t>
      </w:r>
      <w:r>
        <w:rPr>
          <w:rFonts w:hint="eastAsia" w:ascii="Times New Roman"/>
        </w:rPr>
        <w:t>方</w:t>
      </w:r>
      <w:r>
        <w:rPr>
          <w:rFonts w:ascii="Times New Roman"/>
        </w:rPr>
        <w:t>法：</w:t>
      </w:r>
      <w:r>
        <w:rPr>
          <w:rFonts w:hint="eastAsia" w:ascii="Times New Roman"/>
        </w:rPr>
        <w:t>在定标位置挖一个稍大于袋装苗土柱的小穴，拆除营养袋，除去弯根，苗木放端正，土柱表面与地面平齐，分层回土并压实，回土至与土柱表面平齐</w:t>
      </w:r>
      <w:r>
        <w:rPr>
          <w:rFonts w:ascii="Times New Roman"/>
        </w:rPr>
        <w:t>。</w:t>
      </w:r>
      <w:r>
        <w:rPr>
          <w:rFonts w:hint="eastAsia" w:ascii="Times New Roman"/>
        </w:rPr>
        <w:t>植后浇透定根水。</w:t>
      </w:r>
    </w:p>
    <w:p w14:paraId="35C3E4D3">
      <w:pPr>
        <w:pStyle w:val="82"/>
        <w:spacing w:before="120" w:after="120"/>
      </w:pPr>
      <w:bookmarkStart w:id="175" w:name="_Toc198559373"/>
      <w:r>
        <w:t>田间管理技术</w:t>
      </w:r>
      <w:bookmarkEnd w:id="175"/>
    </w:p>
    <w:p w14:paraId="372E43BA">
      <w:pPr>
        <w:pStyle w:val="84"/>
        <w:spacing w:before="120" w:after="120"/>
      </w:pPr>
      <w:r>
        <w:t>树体修剪</w:t>
      </w:r>
    </w:p>
    <w:p w14:paraId="04E8FE95">
      <w:pPr>
        <w:pStyle w:val="59"/>
        <w:ind w:firstLine="420"/>
      </w:pPr>
      <w:r>
        <w:t>树体修剪应符合</w:t>
      </w:r>
      <w:r>
        <w:rPr>
          <w:rFonts w:hint="eastAsia"/>
        </w:rPr>
        <w:t>：</w:t>
      </w:r>
    </w:p>
    <w:p w14:paraId="797B3C98">
      <w:pPr>
        <w:pStyle w:val="135"/>
        <w:rPr>
          <w:rFonts w:ascii="Times New Roman"/>
        </w:rPr>
      </w:pPr>
      <w:r>
        <w:rPr>
          <w:rFonts w:ascii="Times New Roman"/>
        </w:rPr>
        <w:t>幼树定型：采用</w:t>
      </w:r>
      <w:r>
        <w:rPr>
          <w:rFonts w:hint="eastAsia" w:ascii="Times New Roman"/>
        </w:rPr>
        <w:t>单干或多干</w:t>
      </w:r>
      <w:r>
        <w:rPr>
          <w:rFonts w:ascii="Times New Roman"/>
        </w:rPr>
        <w:t>整形法，主干保留高度</w:t>
      </w:r>
      <w:r>
        <w:rPr>
          <w:rFonts w:hint="eastAsia" w:ascii="Times New Roman"/>
        </w:rPr>
        <w:t>1</w:t>
      </w:r>
      <w:r>
        <w:rPr>
          <w:rFonts w:ascii="Times New Roman"/>
        </w:rPr>
        <w:t>80 cm；；</w:t>
      </w:r>
    </w:p>
    <w:p w14:paraId="07D08257">
      <w:pPr>
        <w:pStyle w:val="135"/>
        <w:rPr>
          <w:rFonts w:ascii="Times New Roman"/>
        </w:rPr>
      </w:pPr>
      <w:r>
        <w:rPr>
          <w:rFonts w:ascii="Times New Roman"/>
        </w:rPr>
        <w:t>结果树修剪：</w:t>
      </w:r>
      <w:r>
        <w:rPr>
          <w:rFonts w:hint="eastAsia" w:ascii="Times New Roman"/>
        </w:rPr>
        <w:t>根据长出的部位和生长势决定二级分枝的疏剪，及时剪除一级分枝上过密、细弱、太过荫蔽的二级分枝，要求二级分枝分布均匀。剪除靠近主干10 cm～15 cm以内的二级分枝；剪除向主干内生长的枝条；剪除近地面40 cm以内的所有下垂的一级分枝；及时剪除虫枝、干枯枝、多余直生枝</w:t>
      </w:r>
      <w:r>
        <w:rPr>
          <w:rFonts w:ascii="Times New Roman"/>
        </w:rPr>
        <w:t>；</w:t>
      </w:r>
    </w:p>
    <w:p w14:paraId="65250577">
      <w:pPr>
        <w:pStyle w:val="135"/>
        <w:rPr>
          <w:rFonts w:ascii="Times New Roman"/>
        </w:rPr>
      </w:pPr>
      <w:r>
        <w:rPr>
          <w:rFonts w:hint="eastAsia" w:ascii="Times New Roman"/>
        </w:rPr>
        <w:t>修芽修枝：及时修除主干分枝上多余芽、过密枝。</w:t>
      </w:r>
    </w:p>
    <w:p w14:paraId="584F9978">
      <w:pPr>
        <w:pStyle w:val="84"/>
        <w:spacing w:before="120" w:after="120"/>
      </w:pPr>
      <w:r>
        <w:t>土壤管理</w:t>
      </w:r>
    </w:p>
    <w:p w14:paraId="00BF7860">
      <w:pPr>
        <w:pStyle w:val="59"/>
        <w:ind w:firstLine="420"/>
      </w:pPr>
      <w:r>
        <w:rPr>
          <w:rFonts w:hint="eastAsia"/>
        </w:rPr>
        <w:t>土壤松土、覆盖应：</w:t>
      </w:r>
    </w:p>
    <w:p w14:paraId="4C799DF1">
      <w:pPr>
        <w:pStyle w:val="135"/>
        <w:rPr>
          <w:rFonts w:ascii="Times New Roman"/>
        </w:rPr>
      </w:pPr>
      <w:r>
        <w:rPr>
          <w:rFonts w:ascii="Times New Roman"/>
        </w:rPr>
        <w:t>中耕制度：雨季前深松25 cm，旱季浅耕10 cm；</w:t>
      </w:r>
    </w:p>
    <w:p w14:paraId="70AD00B0">
      <w:pPr>
        <w:pStyle w:val="135"/>
        <w:rPr>
          <w:rFonts w:ascii="Times New Roman"/>
        </w:rPr>
      </w:pPr>
      <w:r>
        <w:rPr>
          <w:rFonts w:ascii="Times New Roman"/>
        </w:rPr>
        <w:t>覆盖技术：旱季铺设10 cm厚</w:t>
      </w:r>
      <w:r>
        <w:rPr>
          <w:rFonts w:hint="eastAsia" w:ascii="Times New Roman"/>
        </w:rPr>
        <w:t>秸秆、椰糠、</w:t>
      </w:r>
      <w:r>
        <w:rPr>
          <w:rFonts w:ascii="Times New Roman"/>
        </w:rPr>
        <w:t>咖啡壳</w:t>
      </w:r>
      <w:r>
        <w:rPr>
          <w:rFonts w:hint="eastAsia" w:ascii="Times New Roman"/>
        </w:rPr>
        <w:t>等</w:t>
      </w:r>
      <w:r>
        <w:rPr>
          <w:rFonts w:ascii="Times New Roman"/>
        </w:rPr>
        <w:t>覆盖层，雨季改用防草布。</w:t>
      </w:r>
    </w:p>
    <w:p w14:paraId="380058F3">
      <w:pPr>
        <w:pStyle w:val="82"/>
        <w:spacing w:before="120" w:after="120"/>
      </w:pPr>
      <w:bookmarkStart w:id="176" w:name="_Toc198559374"/>
      <w:r>
        <w:t>智能灌溉技术</w:t>
      </w:r>
      <w:bookmarkEnd w:id="176"/>
    </w:p>
    <w:p w14:paraId="0061233F">
      <w:pPr>
        <w:pStyle w:val="84"/>
        <w:spacing w:before="120" w:after="120"/>
      </w:pPr>
      <w:r>
        <w:t>水肥一体化系统</w:t>
      </w:r>
    </w:p>
    <w:p w14:paraId="2991C782">
      <w:pPr>
        <w:pStyle w:val="59"/>
        <w:ind w:firstLine="420"/>
      </w:pPr>
      <w:r>
        <w:t>水肥一体化要求如下</w:t>
      </w:r>
      <w:r>
        <w:rPr>
          <w:rFonts w:hint="eastAsia"/>
        </w:rPr>
        <w:t>：</w:t>
      </w:r>
    </w:p>
    <w:p w14:paraId="589F92BB">
      <w:pPr>
        <w:pStyle w:val="135"/>
      </w:pPr>
      <w:r>
        <w:t>滴灌参数：压力0.2 MPa，滴头流量2 L/h，间距</w:t>
      </w:r>
      <w:r>
        <w:rPr>
          <w:rFonts w:hint="eastAsia"/>
        </w:rPr>
        <w:t>以植株间距为准</w:t>
      </w:r>
      <w:r>
        <w:t>；</w:t>
      </w:r>
    </w:p>
    <w:p w14:paraId="7CCCE340">
      <w:pPr>
        <w:pStyle w:val="135"/>
      </w:pPr>
      <w:r>
        <w:t>营养液配方：</w:t>
      </w:r>
      <w:r>
        <w:rPr>
          <w:rFonts w:hint="eastAsia"/>
        </w:rPr>
        <w:t>幼龄树</w:t>
      </w:r>
      <w:r>
        <w:t>N</w:t>
      </w:r>
      <w:r>
        <w:rPr>
          <w:rFonts w:hint="eastAsia"/>
        </w:rPr>
        <w:t>:</w:t>
      </w:r>
      <w:r>
        <w:t>P</w:t>
      </w:r>
      <w:r>
        <w:rPr>
          <w:vertAlign w:val="subscript"/>
        </w:rPr>
        <w:t>2</w:t>
      </w:r>
      <w:r>
        <w:t>O</w:t>
      </w:r>
      <w:r>
        <w:rPr>
          <w:vertAlign w:val="subscript"/>
        </w:rPr>
        <w:t>5</w:t>
      </w:r>
      <w:r>
        <w:rPr>
          <w:rFonts w:hint="eastAsia"/>
        </w:rPr>
        <w:t>:</w:t>
      </w:r>
      <w:r>
        <w:t>K</w:t>
      </w:r>
      <w:r>
        <w:rPr>
          <w:vertAlign w:val="subscript"/>
        </w:rPr>
        <w:t>2</w:t>
      </w:r>
      <w:r>
        <w:t>O比例为</w:t>
      </w:r>
      <w:r>
        <w:rPr>
          <w:rFonts w:hint="eastAsia"/>
        </w:rPr>
        <w:t>1:1:1、成龄树</w:t>
      </w:r>
      <w:r>
        <w:t>N</w:t>
      </w:r>
      <w:r>
        <w:rPr>
          <w:rFonts w:hint="eastAsia"/>
        </w:rPr>
        <w:t>:</w:t>
      </w:r>
      <w:r>
        <w:t>P</w:t>
      </w:r>
      <w:r>
        <w:rPr>
          <w:vertAlign w:val="subscript"/>
        </w:rPr>
        <w:t>2</w:t>
      </w:r>
      <w:r>
        <w:t>O</w:t>
      </w:r>
      <w:r>
        <w:rPr>
          <w:vertAlign w:val="subscript"/>
        </w:rPr>
        <w:t>5</w:t>
      </w:r>
      <w:r>
        <w:rPr>
          <w:rFonts w:hint="eastAsia"/>
        </w:rPr>
        <w:t>:</w:t>
      </w:r>
      <w:r>
        <w:t>K</w:t>
      </w:r>
      <w:r>
        <w:rPr>
          <w:vertAlign w:val="subscript"/>
        </w:rPr>
        <w:t>2</w:t>
      </w:r>
      <w:r>
        <w:t>O比例为</w:t>
      </w:r>
      <w:r>
        <w:rPr>
          <w:rFonts w:hint="eastAsia"/>
        </w:rPr>
        <w:t>7:1:7</w:t>
      </w:r>
      <w:r>
        <w:t>；</w:t>
      </w:r>
    </w:p>
    <w:p w14:paraId="5B370DDA">
      <w:pPr>
        <w:pStyle w:val="135"/>
      </w:pPr>
      <w:r>
        <w:t>灌溉周期：旱季每4天1次，每次持续2小时。</w:t>
      </w:r>
    </w:p>
    <w:p w14:paraId="6A1B4AEB">
      <w:pPr>
        <w:pStyle w:val="84"/>
        <w:spacing w:before="120" w:after="120"/>
      </w:pPr>
      <w:r>
        <w:t>墒情监测</w:t>
      </w:r>
    </w:p>
    <w:p w14:paraId="34161AB3">
      <w:pPr>
        <w:pStyle w:val="59"/>
        <w:ind w:firstLine="420"/>
      </w:pPr>
      <w:r>
        <w:t>传感器及数据模型应满足</w:t>
      </w:r>
      <w:r>
        <w:rPr>
          <w:rFonts w:hint="eastAsia"/>
        </w:rPr>
        <w:t>：</w:t>
      </w:r>
    </w:p>
    <w:p w14:paraId="4F0B0C22">
      <w:pPr>
        <w:pStyle w:val="135"/>
      </w:pPr>
      <w:r>
        <w:t>传感器布设：每0.5 ha安装1组多层土壤探头（监测深度10/30/60 cm）；</w:t>
      </w:r>
    </w:p>
    <w:p w14:paraId="75DD5CA6">
      <w:pPr>
        <w:pStyle w:val="135"/>
      </w:pPr>
      <w:r>
        <w:t>数据模型：基于作物系数法（Kc=0.7~1.2）动态调整灌溉量。</w:t>
      </w:r>
    </w:p>
    <w:p w14:paraId="48384683">
      <w:pPr>
        <w:pStyle w:val="82"/>
        <w:spacing w:before="120" w:after="120"/>
      </w:pPr>
      <w:bookmarkStart w:id="177" w:name="_Toc198559375"/>
      <w:r>
        <w:t>病虫害绿色防控</w:t>
      </w:r>
      <w:bookmarkEnd w:id="177"/>
    </w:p>
    <w:p w14:paraId="31F5F352">
      <w:pPr>
        <w:pStyle w:val="84"/>
        <w:spacing w:before="120" w:after="120"/>
      </w:pPr>
      <w:r>
        <w:t>生态防控体系</w:t>
      </w:r>
    </w:p>
    <w:p w14:paraId="43846190">
      <w:pPr>
        <w:pStyle w:val="59"/>
        <w:ind w:firstLine="420"/>
      </w:pPr>
      <w:r>
        <w:t>生态防控要求如下</w:t>
      </w:r>
      <w:r>
        <w:rPr>
          <w:rFonts w:hint="eastAsia"/>
        </w:rPr>
        <w:t>：</w:t>
      </w:r>
    </w:p>
    <w:p w14:paraId="489FA3CF">
      <w:pPr>
        <w:pStyle w:val="135"/>
        <w:rPr>
          <w:rFonts w:ascii="Times New Roman"/>
        </w:rPr>
      </w:pPr>
      <w:r>
        <w:rPr>
          <w:rFonts w:ascii="Times New Roman"/>
        </w:rPr>
        <w:t>间作系统：</w:t>
      </w:r>
      <w:r>
        <w:rPr>
          <w:rFonts w:hint="eastAsia"/>
        </w:rPr>
        <w:t>间种与咖啡无共同病虫害的其他树种，</w:t>
      </w:r>
      <w:r>
        <w:rPr>
          <w:rFonts w:ascii="Times New Roman"/>
        </w:rPr>
        <w:t>形成生物隔离带；</w:t>
      </w:r>
    </w:p>
    <w:p w14:paraId="2F5C1584">
      <w:pPr>
        <w:pStyle w:val="135"/>
        <w:rPr>
          <w:rFonts w:ascii="Times New Roman"/>
        </w:rPr>
      </w:pPr>
      <w:r>
        <w:rPr>
          <w:rFonts w:ascii="Times New Roman"/>
        </w:rPr>
        <w:t>性诱技术：悬挂信息素诱捕器（密度20个/ha），每周更换诱芯</w:t>
      </w:r>
      <w:r>
        <w:rPr>
          <w:rFonts w:hint="eastAsia" w:ascii="Times New Roman"/>
        </w:rPr>
        <w:t>；</w:t>
      </w:r>
    </w:p>
    <w:p w14:paraId="7AB23035">
      <w:pPr>
        <w:pStyle w:val="135"/>
        <w:rPr>
          <w:rFonts w:ascii="Times New Roman"/>
        </w:rPr>
      </w:pPr>
      <w:r>
        <w:rPr>
          <w:rFonts w:hint="eastAsia" w:ascii="Times New Roman"/>
        </w:rPr>
        <w:t>生物防治：人工繁殖和释放寄生蜂、捕食螨等天敌。</w:t>
      </w:r>
    </w:p>
    <w:p w14:paraId="20F0577E">
      <w:pPr>
        <w:pStyle w:val="84"/>
        <w:spacing w:before="120" w:after="120"/>
      </w:pPr>
      <w:r>
        <w:t>精准施药技术</w:t>
      </w:r>
    </w:p>
    <w:p w14:paraId="3F594887">
      <w:pPr>
        <w:pStyle w:val="59"/>
        <w:ind w:firstLine="420"/>
      </w:pPr>
      <w:r>
        <w:t>精准施药应</w:t>
      </w:r>
      <w:r>
        <w:rPr>
          <w:rFonts w:hint="eastAsia"/>
        </w:rPr>
        <w:t>：</w:t>
      </w:r>
    </w:p>
    <w:p w14:paraId="5F402F05">
      <w:pPr>
        <w:pStyle w:val="135"/>
      </w:pPr>
      <w:r>
        <w:t>无人机飞防：采用四旋翼植保机，作业高度</w:t>
      </w:r>
      <w:r>
        <w:rPr>
          <w:rFonts w:hint="eastAsia"/>
        </w:rPr>
        <w:t xml:space="preserve">3.0 </w:t>
      </w:r>
      <w:r>
        <w:t>m，雾滴粒径150~200</w:t>
      </w:r>
      <w:r>
        <w:rPr>
          <w:rFonts w:hint="eastAsia"/>
        </w:rPr>
        <w:t xml:space="preserve"> </w:t>
      </w:r>
      <w:r>
        <w:t>μm；</w:t>
      </w:r>
    </w:p>
    <w:p w14:paraId="3C58B3B3">
      <w:pPr>
        <w:pStyle w:val="135"/>
      </w:pPr>
      <w:r>
        <w:t>药剂轮换：严格执行MoA（作用机理）分类轮换制度，每年同一类药剂使用≤2次。</w:t>
      </w:r>
    </w:p>
    <w:p w14:paraId="31F2AE8C">
      <w:pPr>
        <w:pStyle w:val="82"/>
        <w:spacing w:before="120" w:after="120"/>
      </w:pPr>
      <w:bookmarkStart w:id="178" w:name="_Toc198559376"/>
      <w:r>
        <w:t>采收前处理</w:t>
      </w:r>
      <w:bookmarkEnd w:id="178"/>
    </w:p>
    <w:p w14:paraId="461F0681">
      <w:pPr>
        <w:pStyle w:val="59"/>
        <w:ind w:firstLine="420"/>
      </w:pPr>
      <w:r>
        <w:t>断水控肥：采收前10天停止灌溉，前</w:t>
      </w:r>
      <w:r>
        <w:rPr>
          <w:rFonts w:hint="eastAsia"/>
        </w:rPr>
        <w:t>3</w:t>
      </w:r>
      <w:r>
        <w:t>0天停止施用叶面肥；</w:t>
      </w:r>
    </w:p>
    <w:p w14:paraId="2F494DF1">
      <w:pPr>
        <w:pStyle w:val="81"/>
        <w:spacing w:before="120" w:after="120"/>
      </w:pPr>
      <w:bookmarkStart w:id="179" w:name="_Toc200655857"/>
      <w:bookmarkStart w:id="180" w:name="_Toc200480771"/>
      <w:bookmarkStart w:id="181" w:name="_Toc198559378"/>
      <w:r>
        <w:t>采摘技能</w:t>
      </w:r>
      <w:bookmarkEnd w:id="179"/>
      <w:bookmarkEnd w:id="180"/>
      <w:bookmarkEnd w:id="181"/>
    </w:p>
    <w:p w14:paraId="2A3FF08B">
      <w:pPr>
        <w:pStyle w:val="82"/>
        <w:spacing w:before="120" w:after="120"/>
      </w:pPr>
      <w:bookmarkStart w:id="182" w:name="_Toc198559379"/>
      <w:r>
        <w:t>采摘手法</w:t>
      </w:r>
      <w:bookmarkEnd w:id="182"/>
    </w:p>
    <w:p w14:paraId="71FBBDBD">
      <w:pPr>
        <w:pStyle w:val="59"/>
        <w:ind w:firstLine="420"/>
      </w:pPr>
      <w:r>
        <w:t>熟练掌握手工采摘技巧，快速、精准采摘成熟果实，防止损伤未成熟果、枝条及花，采摘破损率应低于</w:t>
      </w:r>
      <w:r>
        <w:rPr>
          <w:rFonts w:hint="eastAsia"/>
        </w:rPr>
        <w:t>3</w:t>
      </w:r>
      <w:r>
        <w:t>%。</w:t>
      </w:r>
    </w:p>
    <w:p w14:paraId="61AAF32B">
      <w:pPr>
        <w:pStyle w:val="82"/>
        <w:spacing w:before="120" w:after="120"/>
      </w:pPr>
      <w:bookmarkStart w:id="183" w:name="_Toc198559380"/>
      <w:r>
        <w:t>采摘效率</w:t>
      </w:r>
      <w:bookmarkEnd w:id="183"/>
    </w:p>
    <w:p w14:paraId="763FAE08">
      <w:pPr>
        <w:pStyle w:val="59"/>
        <w:ind w:firstLine="420"/>
      </w:pPr>
      <w:r>
        <w:t>在正常作业条件下，单人单日采摘量应达到 </w:t>
      </w:r>
      <w:r>
        <w:rPr>
          <w:rFonts w:hint="eastAsia"/>
        </w:rPr>
        <w:t>100</w:t>
      </w:r>
      <w:r>
        <w:t xml:space="preserve"> </w:t>
      </w:r>
      <w:r>
        <w:rPr>
          <w:rFonts w:hint="eastAsia"/>
        </w:rPr>
        <w:t>kg</w:t>
      </w:r>
      <w:r>
        <w:t>以上，且随熟练程度提升保持稳定增长趋势，同时保证采摘质量不受影响。</w:t>
      </w:r>
    </w:p>
    <w:p w14:paraId="04045AF3">
      <w:pPr>
        <w:pStyle w:val="82"/>
        <w:spacing w:before="120" w:after="120"/>
      </w:pPr>
      <w:bookmarkStart w:id="184" w:name="_Toc198559381"/>
      <w:r>
        <w:t>采摘质量</w:t>
      </w:r>
      <w:bookmarkEnd w:id="184"/>
    </w:p>
    <w:p w14:paraId="3621E170">
      <w:pPr>
        <w:pStyle w:val="59"/>
        <w:ind w:firstLine="420"/>
      </w:pPr>
      <w:r>
        <w:t>采摘质量要求如下：</w:t>
      </w:r>
    </w:p>
    <w:p w14:paraId="4CD25244">
      <w:pPr>
        <w:pStyle w:val="135"/>
      </w:pPr>
      <w:r>
        <w:t>果实完整性：采摘的果实应保持完整，无明显机械损伤或挤压痕迹，确保果实的商品价值；</w:t>
      </w:r>
    </w:p>
    <w:p w14:paraId="3BAAC69B">
      <w:pPr>
        <w:pStyle w:val="135"/>
      </w:pPr>
      <w:r>
        <w:t>成熟度一致性：采摘的果实应达到统一的成熟度标准，防止混入未成熟或过熟果实，影响后续加工品质；</w:t>
      </w:r>
    </w:p>
    <w:p w14:paraId="2192023A">
      <w:pPr>
        <w:pStyle w:val="135"/>
      </w:pPr>
      <w:r>
        <w:t>清洁度：采摘过程中应防止果实接触泥土、杂质或其他污染物，确保果实的清洁度符合加工要求；</w:t>
      </w:r>
    </w:p>
    <w:p w14:paraId="796C1D58">
      <w:pPr>
        <w:pStyle w:val="135"/>
      </w:pPr>
      <w:r>
        <w:t>分类存放：采摘后的果实应按成熟度、大小或品质进行分类存放，便于后续分级处理。</w:t>
      </w:r>
    </w:p>
    <w:p w14:paraId="43AEB49A">
      <w:pPr>
        <w:pStyle w:val="82"/>
        <w:spacing w:before="120" w:after="120"/>
      </w:pPr>
      <w:bookmarkStart w:id="185" w:name="_Toc198559382"/>
      <w:r>
        <w:t>工具使用</w:t>
      </w:r>
      <w:bookmarkEnd w:id="185"/>
    </w:p>
    <w:p w14:paraId="205346B2">
      <w:pPr>
        <w:pStyle w:val="59"/>
        <w:ind w:firstLine="420"/>
      </w:pPr>
      <w:r>
        <w:t>工具使用要求如下：</w:t>
      </w:r>
    </w:p>
    <w:p w14:paraId="35CBF0D5">
      <w:pPr>
        <w:pStyle w:val="135"/>
      </w:pPr>
      <w:r>
        <w:t>工具选择：根据果实特性和采摘需求，正确选择和使用采摘工具，如剪刀、果篮等，确保工具适合采摘作业；</w:t>
      </w:r>
    </w:p>
    <w:p w14:paraId="6BE2F0DF">
      <w:pPr>
        <w:pStyle w:val="135"/>
      </w:pPr>
      <w:r>
        <w:t>工具维护：定期对采摘工具进行清洁、保养，确保工具处于良好工作状态，工具损坏率应控制</w:t>
      </w:r>
      <w:r>
        <w:rPr>
          <w:rFonts w:ascii="Times New Roman"/>
        </w:rPr>
        <w:t>在</w:t>
      </w:r>
      <w:r>
        <w:rPr>
          <w:rFonts w:hint="eastAsia" w:ascii="Times New Roman"/>
        </w:rPr>
        <w:t>3</w:t>
      </w:r>
      <w:r>
        <w:rPr>
          <w:rFonts w:ascii="Times New Roman"/>
        </w:rPr>
        <w:t>% </w:t>
      </w:r>
      <w:r>
        <w:t>以内；</w:t>
      </w:r>
    </w:p>
    <w:p w14:paraId="7C3F7E83">
      <w:pPr>
        <w:pStyle w:val="135"/>
      </w:pPr>
      <w:r>
        <w:t>卫生要求：工具使用过程中应防止对果实造成二次污染，使用前后需进行消毒处理，确保符合食品安全标准；</w:t>
      </w:r>
    </w:p>
    <w:p w14:paraId="2AE57030">
      <w:pPr>
        <w:pStyle w:val="135"/>
      </w:pPr>
      <w:r>
        <w:t>安全操作：使用工具时需遵守安全操作规程，防止因工具使用不当造成人员伤害或果实损伤。</w:t>
      </w:r>
    </w:p>
    <w:p w14:paraId="3F0D9A02">
      <w:pPr>
        <w:pStyle w:val="81"/>
        <w:spacing w:before="120" w:after="120"/>
      </w:pPr>
      <w:bookmarkStart w:id="186" w:name="_Toc200480772"/>
      <w:bookmarkStart w:id="187" w:name="_Toc198559383"/>
      <w:bookmarkStart w:id="188" w:name="_Toc200655858"/>
      <w:r>
        <w:t>职业素养</w:t>
      </w:r>
      <w:bookmarkEnd w:id="186"/>
      <w:bookmarkEnd w:id="187"/>
      <w:bookmarkEnd w:id="188"/>
    </w:p>
    <w:p w14:paraId="07DA1DE4">
      <w:pPr>
        <w:pStyle w:val="82"/>
        <w:spacing w:before="120" w:after="120"/>
      </w:pPr>
      <w:bookmarkStart w:id="189" w:name="_Toc198559384"/>
      <w:r>
        <w:t>职业道德</w:t>
      </w:r>
      <w:bookmarkEnd w:id="189"/>
    </w:p>
    <w:p w14:paraId="55B95B2A">
      <w:pPr>
        <w:pStyle w:val="59"/>
        <w:ind w:firstLine="420"/>
      </w:pPr>
      <w:r>
        <w:t>应对工作高度负责，严格按照采摘标准作业，主动自查采摘质量，发现问题及时报告，不因赶产量而忽视质量。具备良好的职业操守，遵守企业规章制度，尊重劳动成果，杜绝浪费和破坏行为。</w:t>
      </w:r>
    </w:p>
    <w:p w14:paraId="42EB41F5">
      <w:pPr>
        <w:pStyle w:val="82"/>
        <w:spacing w:before="120" w:after="120"/>
      </w:pPr>
      <w:bookmarkStart w:id="190" w:name="_Toc198559385"/>
      <w:r>
        <w:t>团队合作</w:t>
      </w:r>
      <w:bookmarkEnd w:id="190"/>
    </w:p>
    <w:p w14:paraId="564E3CD4">
      <w:pPr>
        <w:pStyle w:val="59"/>
        <w:ind w:firstLine="420"/>
      </w:pPr>
      <w:r>
        <w:t>应与工友配合默契，合理分工，在采摘高峰期共同完成采摘任务，不发生争抢采摘区域等影响团队和谐的行为。积极参与团队沟通，主动分享采摘经验，帮助新员工快速适应工作环境，营造良好的团队氛围。</w:t>
      </w:r>
    </w:p>
    <w:p w14:paraId="12806F47">
      <w:pPr>
        <w:pStyle w:val="82"/>
        <w:spacing w:before="120" w:after="120"/>
      </w:pPr>
      <w:bookmarkStart w:id="191" w:name="_Toc198559386"/>
      <w:r>
        <w:t>吃苦耐劳</w:t>
      </w:r>
      <w:bookmarkEnd w:id="191"/>
    </w:p>
    <w:p w14:paraId="6439BD99">
      <w:pPr>
        <w:pStyle w:val="59"/>
        <w:ind w:firstLine="420"/>
      </w:pPr>
      <w:r>
        <w:t>应适应兴隆咖啡采摘季节的高温、高湿环境，每天</w:t>
      </w:r>
      <w:r>
        <w:rPr>
          <w:rFonts w:hint="eastAsia"/>
        </w:rPr>
        <w:t>总计</w:t>
      </w:r>
      <w:r>
        <w:t xml:space="preserve">工作 </w:t>
      </w:r>
      <w:r>
        <w:rPr>
          <w:rFonts w:hint="eastAsia"/>
        </w:rPr>
        <w:t xml:space="preserve">8 </w:t>
      </w:r>
      <w:r>
        <w:t>小时以上，保证出勤天数满足生产需求。具备较强的抗压能力，在劳动强度较大的情况下仍能保持高效、稳定的工作状态。</w:t>
      </w:r>
    </w:p>
    <w:p w14:paraId="162B8960">
      <w:pPr>
        <w:pStyle w:val="82"/>
        <w:spacing w:before="120" w:after="120"/>
      </w:pPr>
      <w:bookmarkStart w:id="192" w:name="_Toc198559387"/>
      <w:r>
        <w:t>安全意识</w:t>
      </w:r>
      <w:bookmarkEnd w:id="192"/>
    </w:p>
    <w:p w14:paraId="1F41E5D8">
      <w:pPr>
        <w:pStyle w:val="59"/>
        <w:ind w:firstLine="420"/>
      </w:pPr>
      <w:r>
        <w:t>应遵守安全生产规范，正确使用采摘工具，防止因操作不当造成人身伤害或咖啡树损伤。熟悉并掌握紧急情况下的应对措施，如中暑、虫蛇咬伤等突发事件的应急处理方法。主动配合安全培训，提升自我保护意识和能力，确保工作过程中的人身安全和设备安全。</w:t>
      </w:r>
    </w:p>
    <w:p w14:paraId="3E1B4B43">
      <w:pPr>
        <w:pStyle w:val="82"/>
        <w:spacing w:before="120" w:after="120"/>
      </w:pPr>
      <w:bookmarkStart w:id="193" w:name="_Toc198559388"/>
      <w:r>
        <w:t>环保意识</w:t>
      </w:r>
      <w:bookmarkEnd w:id="193"/>
    </w:p>
    <w:p w14:paraId="3823213B">
      <w:pPr>
        <w:pStyle w:val="59"/>
        <w:ind w:firstLine="420"/>
      </w:pPr>
      <w:r>
        <w:t>在采摘过程中应注重环境保护，防止破坏咖啡树及其周边生态环境。妥善处理采摘过程中产生的废弃物，如包装材料、枯枝落叶等，做到垃圾分类和集中处理。积极参与企业组织的环保活动，践行绿色采摘理念。</w:t>
      </w:r>
    </w:p>
    <w:p w14:paraId="36BEB0BF">
      <w:pPr>
        <w:pStyle w:val="82"/>
        <w:spacing w:before="120" w:after="120"/>
      </w:pPr>
      <w:bookmarkStart w:id="194" w:name="_Toc198559389"/>
      <w:r>
        <w:t>学习与创新</w:t>
      </w:r>
      <w:bookmarkEnd w:id="194"/>
    </w:p>
    <w:p w14:paraId="4C8F60D5">
      <w:pPr>
        <w:pStyle w:val="59"/>
        <w:ind w:firstLine="420"/>
      </w:pPr>
      <w:r>
        <w:t>应主动学习先进的采摘技术和知识，提升自身技能水平。善于总结经验，提出合理化建议，优化采摘流程，提高工作效率和质量。积极参与企业组织的培训和技能竞赛，不断提升自身综合素质。</w:t>
      </w:r>
    </w:p>
    <w:p w14:paraId="3382B63A">
      <w:pPr>
        <w:pStyle w:val="82"/>
        <w:spacing w:before="120" w:after="120"/>
      </w:pPr>
      <w:bookmarkStart w:id="195" w:name="_Toc198559390"/>
      <w:r>
        <w:t>服务意识</w:t>
      </w:r>
      <w:bookmarkEnd w:id="195"/>
    </w:p>
    <w:p w14:paraId="3895A9A9">
      <w:pPr>
        <w:pStyle w:val="59"/>
        <w:ind w:firstLine="420"/>
      </w:pPr>
      <w:r>
        <w:t>应树立以客户为中心的服务理念，确保采摘的咖啡果实符合客户要求。在采摘过程中注重细节，防止因操作不当影响咖啡果实的品质。积极配合企业的质量检测和验收工作，确保交付的咖啡果实达到标准。</w:t>
      </w:r>
    </w:p>
    <w:p w14:paraId="609A8305">
      <w:pPr>
        <w:pStyle w:val="59"/>
        <w:ind w:firstLine="420"/>
      </w:pPr>
    </w:p>
    <w:p w14:paraId="22A153B9">
      <w:pPr>
        <w:pStyle w:val="59"/>
        <w:ind w:firstLine="420"/>
        <w:sectPr>
          <w:pgSz w:w="11906" w:h="16838"/>
          <w:pgMar w:top="1928" w:right="1134" w:bottom="1134" w:left="1134" w:header="1418" w:footer="1134" w:gutter="284"/>
          <w:cols w:space="425" w:num="1"/>
          <w:formProt w:val="0"/>
          <w:docGrid w:linePitch="312" w:charSpace="0"/>
        </w:sectPr>
      </w:pPr>
    </w:p>
    <w:p w14:paraId="2215B22E">
      <w:pPr>
        <w:pStyle w:val="201"/>
        <w:rPr>
          <w:rFonts w:hint="eastAsia"/>
        </w:rPr>
      </w:pPr>
    </w:p>
    <w:p w14:paraId="35615D9D">
      <w:pPr>
        <w:pStyle w:val="202"/>
      </w:pPr>
    </w:p>
    <w:p w14:paraId="73510DC6">
      <w:pPr>
        <w:pStyle w:val="79"/>
        <w:spacing w:after="120"/>
      </w:pPr>
      <w:r>
        <w:br w:type="textWrapping"/>
      </w:r>
      <w:bookmarkStart w:id="196" w:name="_Toc198559391"/>
      <w:bookmarkStart w:id="197" w:name="_Toc200655859"/>
      <w:r>
        <w:rPr>
          <w:rFonts w:hint="eastAsia"/>
        </w:rPr>
        <w:t>（资料性）</w:t>
      </w:r>
      <w:r>
        <w:br w:type="textWrapping"/>
      </w:r>
      <w:r>
        <w:rPr>
          <w:rFonts w:hint="eastAsia"/>
        </w:rPr>
        <w:t>兴隆咖啡师劳务品牌  种植类人员（采摘）能力评定申请表</w:t>
      </w:r>
      <w:bookmarkEnd w:id="196"/>
      <w:bookmarkEnd w:id="197"/>
    </w:p>
    <w:p w14:paraId="078A588C">
      <w:pPr>
        <w:pStyle w:val="59"/>
        <w:ind w:firstLine="420"/>
      </w:pPr>
      <w:r>
        <w:rPr>
          <w:rFonts w:hint="eastAsia"/>
        </w:rPr>
        <w:t>兴隆咖啡师劳务品牌  种植类人员（采摘）能力评定申请表见表B</w:t>
      </w:r>
      <w:r>
        <w:t>.1</w:t>
      </w:r>
    </w:p>
    <w:p w14:paraId="6173B0D3">
      <w:pPr>
        <w:pStyle w:val="80"/>
        <w:spacing w:before="120" w:after="120"/>
      </w:pPr>
      <w:r>
        <w:rPr>
          <w:rFonts w:hint="eastAsia"/>
        </w:rPr>
        <w:t>兴隆咖啡师劳务品牌  种植类人员（采摘）能力评定申请表</w:t>
      </w:r>
    </w:p>
    <w:tbl>
      <w:tblPr>
        <w:tblStyle w:val="30"/>
        <w:tblW w:w="960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2381"/>
        <w:gridCol w:w="1420"/>
        <w:gridCol w:w="1420"/>
        <w:gridCol w:w="1420"/>
        <w:gridCol w:w="1420"/>
        <w:gridCol w:w="1544"/>
      </w:tblGrid>
      <w:tr w14:paraId="0653EDC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4" w:hRule="atLeast"/>
          <w:jc w:val="center"/>
        </w:trPr>
        <w:tc>
          <w:tcPr>
            <w:tcW w:w="2381" w:type="dxa"/>
            <w:tcBorders>
              <w:bottom w:val="single" w:color="auto" w:sz="4" w:space="0"/>
              <w:right w:val="single" w:color="auto" w:sz="4" w:space="0"/>
            </w:tcBorders>
            <w:vAlign w:val="center"/>
          </w:tcPr>
          <w:p w14:paraId="2E5370CF">
            <w:pPr>
              <w:pStyle w:val="59"/>
              <w:ind w:firstLine="360"/>
              <w:rPr>
                <w:rFonts w:ascii="Times New Roman"/>
                <w:sz w:val="18"/>
                <w:szCs w:val="18"/>
              </w:rPr>
            </w:pPr>
            <w:r>
              <w:rPr>
                <w:rFonts w:ascii="Times New Roman"/>
                <w:sz w:val="18"/>
                <w:szCs w:val="18"/>
              </w:rPr>
              <w:t>姓 名</w:t>
            </w:r>
          </w:p>
        </w:tc>
        <w:tc>
          <w:tcPr>
            <w:tcW w:w="1420" w:type="dxa"/>
            <w:tcBorders>
              <w:left w:val="single" w:color="auto" w:sz="4" w:space="0"/>
              <w:bottom w:val="single" w:color="auto" w:sz="4" w:space="0"/>
              <w:right w:val="single" w:color="auto" w:sz="4" w:space="0"/>
            </w:tcBorders>
            <w:vAlign w:val="center"/>
          </w:tcPr>
          <w:p w14:paraId="521B8D17">
            <w:pPr>
              <w:pStyle w:val="59"/>
              <w:ind w:firstLine="360"/>
              <w:rPr>
                <w:rFonts w:ascii="Times New Roman"/>
                <w:sz w:val="18"/>
                <w:szCs w:val="18"/>
              </w:rPr>
            </w:pPr>
          </w:p>
        </w:tc>
        <w:tc>
          <w:tcPr>
            <w:tcW w:w="1420" w:type="dxa"/>
            <w:tcBorders>
              <w:left w:val="single" w:color="auto" w:sz="4" w:space="0"/>
              <w:bottom w:val="single" w:color="auto" w:sz="4" w:space="0"/>
              <w:right w:val="single" w:color="auto" w:sz="4" w:space="0"/>
            </w:tcBorders>
            <w:vAlign w:val="center"/>
          </w:tcPr>
          <w:p w14:paraId="060087AC">
            <w:pPr>
              <w:pStyle w:val="59"/>
              <w:ind w:firstLine="360"/>
              <w:rPr>
                <w:rFonts w:ascii="Times New Roman"/>
                <w:sz w:val="18"/>
                <w:szCs w:val="18"/>
              </w:rPr>
            </w:pPr>
            <w:r>
              <w:rPr>
                <w:rFonts w:ascii="Times New Roman"/>
                <w:sz w:val="18"/>
                <w:szCs w:val="18"/>
              </w:rPr>
              <w:t>性 别</w:t>
            </w:r>
          </w:p>
        </w:tc>
        <w:tc>
          <w:tcPr>
            <w:tcW w:w="1420" w:type="dxa"/>
            <w:tcBorders>
              <w:left w:val="single" w:color="auto" w:sz="4" w:space="0"/>
              <w:bottom w:val="single" w:color="auto" w:sz="4" w:space="0"/>
              <w:right w:val="single" w:color="auto" w:sz="4" w:space="0"/>
            </w:tcBorders>
            <w:vAlign w:val="center"/>
          </w:tcPr>
          <w:p w14:paraId="5D617C91">
            <w:pPr>
              <w:pStyle w:val="59"/>
              <w:ind w:firstLine="360"/>
              <w:rPr>
                <w:rFonts w:ascii="Times New Roman"/>
                <w:sz w:val="18"/>
                <w:szCs w:val="18"/>
              </w:rPr>
            </w:pPr>
          </w:p>
        </w:tc>
        <w:tc>
          <w:tcPr>
            <w:tcW w:w="1420" w:type="dxa"/>
            <w:tcBorders>
              <w:left w:val="single" w:color="auto" w:sz="4" w:space="0"/>
              <w:bottom w:val="single" w:color="auto" w:sz="4" w:space="0"/>
              <w:right w:val="single" w:color="auto" w:sz="4" w:space="0"/>
            </w:tcBorders>
            <w:vAlign w:val="center"/>
          </w:tcPr>
          <w:p w14:paraId="7FF4B185">
            <w:pPr>
              <w:pStyle w:val="59"/>
              <w:ind w:firstLine="360"/>
              <w:rPr>
                <w:rFonts w:ascii="Times New Roman"/>
                <w:sz w:val="18"/>
                <w:szCs w:val="18"/>
              </w:rPr>
            </w:pPr>
            <w:r>
              <w:rPr>
                <w:rFonts w:ascii="Times New Roman"/>
                <w:sz w:val="18"/>
                <w:szCs w:val="18"/>
              </w:rPr>
              <w:t>出生年月</w:t>
            </w:r>
          </w:p>
        </w:tc>
        <w:tc>
          <w:tcPr>
            <w:tcW w:w="1544" w:type="dxa"/>
            <w:tcBorders>
              <w:left w:val="single" w:color="auto" w:sz="4" w:space="0"/>
              <w:bottom w:val="single" w:color="auto" w:sz="4" w:space="0"/>
            </w:tcBorders>
            <w:vAlign w:val="center"/>
          </w:tcPr>
          <w:p w14:paraId="694B3C44">
            <w:pPr>
              <w:pStyle w:val="59"/>
              <w:ind w:firstLine="360"/>
              <w:rPr>
                <w:rFonts w:ascii="Times New Roman"/>
                <w:sz w:val="18"/>
                <w:szCs w:val="18"/>
              </w:rPr>
            </w:pPr>
          </w:p>
        </w:tc>
      </w:tr>
      <w:tr w14:paraId="4C67232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4" w:hRule="atLeast"/>
          <w:jc w:val="center"/>
        </w:trPr>
        <w:tc>
          <w:tcPr>
            <w:tcW w:w="2381" w:type="dxa"/>
            <w:tcBorders>
              <w:top w:val="single" w:color="auto" w:sz="4" w:space="0"/>
              <w:bottom w:val="single" w:color="auto" w:sz="4" w:space="0"/>
              <w:right w:val="single" w:color="auto" w:sz="4" w:space="0"/>
            </w:tcBorders>
            <w:vAlign w:val="center"/>
          </w:tcPr>
          <w:p w14:paraId="5CD57C13">
            <w:pPr>
              <w:pStyle w:val="59"/>
              <w:ind w:firstLine="360"/>
              <w:rPr>
                <w:rFonts w:ascii="Times New Roman"/>
                <w:sz w:val="18"/>
                <w:szCs w:val="18"/>
              </w:rPr>
            </w:pPr>
            <w:r>
              <w:rPr>
                <w:rFonts w:ascii="Times New Roman"/>
                <w:sz w:val="18"/>
                <w:szCs w:val="18"/>
              </w:rPr>
              <w:t>身份证号</w:t>
            </w:r>
          </w:p>
        </w:tc>
        <w:tc>
          <w:tcPr>
            <w:tcW w:w="7224" w:type="dxa"/>
            <w:gridSpan w:val="5"/>
            <w:tcBorders>
              <w:top w:val="single" w:color="auto" w:sz="4" w:space="0"/>
              <w:left w:val="single" w:color="auto" w:sz="4" w:space="0"/>
              <w:bottom w:val="single" w:color="auto" w:sz="4" w:space="0"/>
            </w:tcBorders>
            <w:vAlign w:val="center"/>
          </w:tcPr>
          <w:p w14:paraId="0505D91F">
            <w:pPr>
              <w:pStyle w:val="59"/>
              <w:ind w:firstLine="360"/>
              <w:rPr>
                <w:rFonts w:ascii="Times New Roman"/>
                <w:sz w:val="18"/>
                <w:szCs w:val="18"/>
              </w:rPr>
            </w:pPr>
          </w:p>
        </w:tc>
      </w:tr>
      <w:tr w14:paraId="2DAB9BB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4" w:hRule="atLeast"/>
          <w:jc w:val="center"/>
        </w:trPr>
        <w:tc>
          <w:tcPr>
            <w:tcW w:w="2381" w:type="dxa"/>
            <w:tcBorders>
              <w:top w:val="single" w:color="auto" w:sz="4" w:space="0"/>
              <w:bottom w:val="single" w:color="auto" w:sz="4" w:space="0"/>
              <w:right w:val="single" w:color="auto" w:sz="4" w:space="0"/>
            </w:tcBorders>
            <w:vAlign w:val="center"/>
          </w:tcPr>
          <w:p w14:paraId="2BBD2F92">
            <w:pPr>
              <w:pStyle w:val="59"/>
              <w:ind w:firstLine="360"/>
              <w:rPr>
                <w:rFonts w:ascii="Times New Roman"/>
                <w:sz w:val="18"/>
                <w:szCs w:val="18"/>
              </w:rPr>
            </w:pPr>
            <w:r>
              <w:rPr>
                <w:rFonts w:ascii="Times New Roman"/>
                <w:sz w:val="18"/>
                <w:szCs w:val="18"/>
              </w:rPr>
              <w:t>申请等级</w:t>
            </w:r>
          </w:p>
        </w:tc>
        <w:tc>
          <w:tcPr>
            <w:tcW w:w="7224" w:type="dxa"/>
            <w:gridSpan w:val="5"/>
            <w:tcBorders>
              <w:top w:val="single" w:color="auto" w:sz="4" w:space="0"/>
              <w:left w:val="single" w:color="auto" w:sz="4" w:space="0"/>
              <w:bottom w:val="single" w:color="auto" w:sz="4" w:space="0"/>
            </w:tcBorders>
            <w:vAlign w:val="center"/>
          </w:tcPr>
          <w:p w14:paraId="13D6ACB0">
            <w:pPr>
              <w:pStyle w:val="59"/>
              <w:ind w:firstLine="360"/>
              <w:rPr>
                <w:rFonts w:ascii="Times New Roman"/>
                <w:sz w:val="18"/>
                <w:szCs w:val="18"/>
              </w:rPr>
            </w:pPr>
          </w:p>
        </w:tc>
      </w:tr>
      <w:tr w14:paraId="68106EC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4" w:hRule="atLeast"/>
          <w:jc w:val="center"/>
        </w:trPr>
        <w:tc>
          <w:tcPr>
            <w:tcW w:w="2381" w:type="dxa"/>
            <w:tcBorders>
              <w:top w:val="single" w:color="auto" w:sz="4" w:space="0"/>
              <w:bottom w:val="single" w:color="auto" w:sz="4" w:space="0"/>
              <w:right w:val="single" w:color="auto" w:sz="4" w:space="0"/>
            </w:tcBorders>
            <w:vAlign w:val="center"/>
          </w:tcPr>
          <w:p w14:paraId="2B8111F9">
            <w:pPr>
              <w:pStyle w:val="59"/>
              <w:ind w:firstLine="360"/>
              <w:rPr>
                <w:rFonts w:ascii="Times New Roman"/>
                <w:sz w:val="18"/>
                <w:szCs w:val="18"/>
              </w:rPr>
            </w:pPr>
            <w:r>
              <w:rPr>
                <w:rFonts w:ascii="Times New Roman"/>
                <w:sz w:val="18"/>
                <w:szCs w:val="18"/>
              </w:rPr>
              <w:t>手机号码</w:t>
            </w:r>
          </w:p>
        </w:tc>
        <w:tc>
          <w:tcPr>
            <w:tcW w:w="2840" w:type="dxa"/>
            <w:gridSpan w:val="2"/>
            <w:tcBorders>
              <w:top w:val="single" w:color="auto" w:sz="4" w:space="0"/>
              <w:left w:val="single" w:color="auto" w:sz="4" w:space="0"/>
              <w:bottom w:val="single" w:color="auto" w:sz="4" w:space="0"/>
              <w:right w:val="single" w:color="auto" w:sz="4" w:space="0"/>
            </w:tcBorders>
            <w:vAlign w:val="center"/>
          </w:tcPr>
          <w:p w14:paraId="119B3F2C">
            <w:pPr>
              <w:pStyle w:val="59"/>
              <w:ind w:firstLine="360"/>
              <w:rPr>
                <w:rFonts w:ascii="Times New Roman"/>
                <w:sz w:val="18"/>
                <w:szCs w:val="18"/>
              </w:rPr>
            </w:pPr>
          </w:p>
        </w:tc>
        <w:tc>
          <w:tcPr>
            <w:tcW w:w="1420" w:type="dxa"/>
            <w:tcBorders>
              <w:top w:val="single" w:color="auto" w:sz="4" w:space="0"/>
              <w:left w:val="single" w:color="auto" w:sz="4" w:space="0"/>
              <w:bottom w:val="single" w:color="auto" w:sz="4" w:space="0"/>
              <w:right w:val="single" w:color="auto" w:sz="4" w:space="0"/>
            </w:tcBorders>
            <w:vAlign w:val="center"/>
          </w:tcPr>
          <w:p w14:paraId="0BD339ED">
            <w:pPr>
              <w:pStyle w:val="59"/>
              <w:ind w:firstLine="0" w:firstLineChars="0"/>
              <w:rPr>
                <w:rFonts w:ascii="Times New Roman"/>
                <w:sz w:val="18"/>
                <w:szCs w:val="18"/>
              </w:rPr>
            </w:pPr>
            <w:r>
              <w:rPr>
                <w:rFonts w:ascii="Times New Roman"/>
                <w:sz w:val="18"/>
                <w:szCs w:val="18"/>
              </w:rPr>
              <w:t>工作电话</w:t>
            </w:r>
          </w:p>
        </w:tc>
        <w:tc>
          <w:tcPr>
            <w:tcW w:w="2964" w:type="dxa"/>
            <w:gridSpan w:val="2"/>
            <w:tcBorders>
              <w:top w:val="single" w:color="auto" w:sz="4" w:space="0"/>
              <w:left w:val="single" w:color="auto" w:sz="4" w:space="0"/>
              <w:bottom w:val="single" w:color="auto" w:sz="4" w:space="0"/>
            </w:tcBorders>
            <w:vAlign w:val="center"/>
          </w:tcPr>
          <w:p w14:paraId="416202C1">
            <w:pPr>
              <w:pStyle w:val="59"/>
              <w:ind w:firstLine="360"/>
              <w:rPr>
                <w:rFonts w:ascii="Times New Roman"/>
                <w:sz w:val="18"/>
                <w:szCs w:val="18"/>
              </w:rPr>
            </w:pPr>
          </w:p>
        </w:tc>
      </w:tr>
      <w:tr w14:paraId="7AF7C0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4" w:hRule="atLeast"/>
          <w:jc w:val="center"/>
        </w:trPr>
        <w:tc>
          <w:tcPr>
            <w:tcW w:w="2381" w:type="dxa"/>
            <w:tcBorders>
              <w:top w:val="single" w:color="auto" w:sz="4" w:space="0"/>
              <w:bottom w:val="single" w:color="auto" w:sz="4" w:space="0"/>
              <w:right w:val="single" w:color="auto" w:sz="4" w:space="0"/>
            </w:tcBorders>
            <w:vAlign w:val="center"/>
          </w:tcPr>
          <w:p w14:paraId="597742ED">
            <w:pPr>
              <w:pStyle w:val="59"/>
              <w:ind w:firstLine="360"/>
              <w:rPr>
                <w:rFonts w:ascii="Times New Roman"/>
                <w:sz w:val="18"/>
                <w:szCs w:val="18"/>
              </w:rPr>
            </w:pPr>
            <w:r>
              <w:rPr>
                <w:rFonts w:ascii="Times New Roman"/>
                <w:sz w:val="18"/>
                <w:szCs w:val="18"/>
              </w:rPr>
              <w:t>电子邮箱</w:t>
            </w:r>
          </w:p>
        </w:tc>
        <w:tc>
          <w:tcPr>
            <w:tcW w:w="2840" w:type="dxa"/>
            <w:gridSpan w:val="2"/>
            <w:tcBorders>
              <w:top w:val="single" w:color="auto" w:sz="4" w:space="0"/>
              <w:left w:val="single" w:color="auto" w:sz="4" w:space="0"/>
              <w:bottom w:val="single" w:color="auto" w:sz="4" w:space="0"/>
              <w:right w:val="single" w:color="auto" w:sz="4" w:space="0"/>
            </w:tcBorders>
            <w:vAlign w:val="center"/>
          </w:tcPr>
          <w:p w14:paraId="4F4F6E7D">
            <w:pPr>
              <w:pStyle w:val="59"/>
              <w:ind w:firstLine="360"/>
              <w:rPr>
                <w:rFonts w:ascii="Times New Roman"/>
                <w:sz w:val="18"/>
                <w:szCs w:val="18"/>
              </w:rPr>
            </w:pPr>
          </w:p>
        </w:tc>
        <w:tc>
          <w:tcPr>
            <w:tcW w:w="1420" w:type="dxa"/>
            <w:tcBorders>
              <w:top w:val="single" w:color="auto" w:sz="4" w:space="0"/>
              <w:left w:val="single" w:color="auto" w:sz="4" w:space="0"/>
              <w:bottom w:val="single" w:color="auto" w:sz="4" w:space="0"/>
              <w:right w:val="single" w:color="auto" w:sz="4" w:space="0"/>
            </w:tcBorders>
            <w:vAlign w:val="center"/>
          </w:tcPr>
          <w:p w14:paraId="354E9CEF">
            <w:pPr>
              <w:pStyle w:val="59"/>
              <w:ind w:firstLine="0" w:firstLineChars="0"/>
              <w:rPr>
                <w:rFonts w:ascii="Times New Roman"/>
                <w:sz w:val="18"/>
                <w:szCs w:val="18"/>
              </w:rPr>
            </w:pPr>
            <w:r>
              <w:rPr>
                <w:rFonts w:ascii="Times New Roman"/>
                <w:sz w:val="18"/>
                <w:szCs w:val="18"/>
              </w:rPr>
              <w:t>通讯地址</w:t>
            </w:r>
          </w:p>
        </w:tc>
        <w:tc>
          <w:tcPr>
            <w:tcW w:w="2964" w:type="dxa"/>
            <w:gridSpan w:val="2"/>
            <w:tcBorders>
              <w:top w:val="single" w:color="auto" w:sz="4" w:space="0"/>
              <w:left w:val="single" w:color="auto" w:sz="4" w:space="0"/>
              <w:bottom w:val="single" w:color="auto" w:sz="4" w:space="0"/>
            </w:tcBorders>
            <w:vAlign w:val="center"/>
          </w:tcPr>
          <w:p w14:paraId="23E74967">
            <w:pPr>
              <w:pStyle w:val="59"/>
              <w:ind w:firstLine="360"/>
              <w:rPr>
                <w:rFonts w:ascii="Times New Roman"/>
                <w:sz w:val="18"/>
                <w:szCs w:val="18"/>
              </w:rPr>
            </w:pPr>
          </w:p>
        </w:tc>
      </w:tr>
      <w:tr w14:paraId="1286DEA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4" w:hRule="atLeast"/>
          <w:jc w:val="center"/>
        </w:trPr>
        <w:tc>
          <w:tcPr>
            <w:tcW w:w="2381" w:type="dxa"/>
            <w:tcBorders>
              <w:top w:val="single" w:color="auto" w:sz="4" w:space="0"/>
              <w:bottom w:val="single" w:color="auto" w:sz="4" w:space="0"/>
              <w:right w:val="single" w:color="auto" w:sz="4" w:space="0"/>
            </w:tcBorders>
            <w:vAlign w:val="center"/>
          </w:tcPr>
          <w:p w14:paraId="0D99E3B5">
            <w:pPr>
              <w:pStyle w:val="59"/>
              <w:ind w:firstLine="0" w:firstLineChars="0"/>
              <w:rPr>
                <w:rFonts w:ascii="Times New Roman"/>
                <w:sz w:val="18"/>
                <w:szCs w:val="18"/>
              </w:rPr>
            </w:pPr>
          </w:p>
          <w:p w14:paraId="63C14907">
            <w:pPr>
              <w:pStyle w:val="59"/>
              <w:ind w:firstLine="360"/>
              <w:rPr>
                <w:rFonts w:ascii="Times New Roman"/>
                <w:sz w:val="18"/>
                <w:szCs w:val="18"/>
              </w:rPr>
            </w:pPr>
            <w:r>
              <w:rPr>
                <w:rFonts w:ascii="Times New Roman"/>
                <w:sz w:val="18"/>
                <w:szCs w:val="18"/>
              </w:rPr>
              <w:t>工</w:t>
            </w:r>
          </w:p>
          <w:p w14:paraId="091B8D2E">
            <w:pPr>
              <w:pStyle w:val="59"/>
              <w:ind w:firstLine="360"/>
              <w:rPr>
                <w:rFonts w:ascii="Times New Roman"/>
                <w:sz w:val="18"/>
                <w:szCs w:val="18"/>
              </w:rPr>
            </w:pPr>
            <w:r>
              <w:rPr>
                <w:rFonts w:ascii="Times New Roman"/>
                <w:sz w:val="18"/>
                <w:szCs w:val="18"/>
              </w:rPr>
              <w:t>作</w:t>
            </w:r>
          </w:p>
          <w:p w14:paraId="0103C5F4">
            <w:pPr>
              <w:pStyle w:val="59"/>
              <w:ind w:firstLine="360"/>
              <w:rPr>
                <w:rFonts w:ascii="Times New Roman"/>
                <w:sz w:val="18"/>
                <w:szCs w:val="18"/>
              </w:rPr>
            </w:pPr>
            <w:r>
              <w:rPr>
                <w:rFonts w:ascii="Times New Roman"/>
                <w:sz w:val="18"/>
                <w:szCs w:val="18"/>
              </w:rPr>
              <w:t>经</w:t>
            </w:r>
          </w:p>
          <w:p w14:paraId="08CDC383">
            <w:pPr>
              <w:pStyle w:val="59"/>
              <w:ind w:firstLine="360"/>
              <w:rPr>
                <w:rFonts w:ascii="Times New Roman"/>
                <w:sz w:val="18"/>
                <w:szCs w:val="18"/>
              </w:rPr>
            </w:pPr>
            <w:r>
              <w:rPr>
                <w:rFonts w:ascii="Times New Roman"/>
                <w:sz w:val="18"/>
                <w:szCs w:val="18"/>
              </w:rPr>
              <w:t>历</w:t>
            </w:r>
          </w:p>
        </w:tc>
        <w:tc>
          <w:tcPr>
            <w:tcW w:w="7224" w:type="dxa"/>
            <w:gridSpan w:val="5"/>
            <w:tcBorders>
              <w:top w:val="single" w:color="auto" w:sz="4" w:space="0"/>
              <w:left w:val="single" w:color="auto" w:sz="4" w:space="0"/>
              <w:bottom w:val="single" w:color="auto" w:sz="4" w:space="0"/>
            </w:tcBorders>
            <w:vAlign w:val="center"/>
          </w:tcPr>
          <w:p w14:paraId="58D22FF6">
            <w:pPr>
              <w:pStyle w:val="59"/>
              <w:ind w:firstLine="360"/>
              <w:rPr>
                <w:rFonts w:ascii="Times New Roman"/>
                <w:sz w:val="18"/>
                <w:szCs w:val="18"/>
              </w:rPr>
            </w:pPr>
          </w:p>
        </w:tc>
      </w:tr>
      <w:tr w14:paraId="3494A73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4" w:hRule="atLeast"/>
          <w:jc w:val="center"/>
        </w:trPr>
        <w:tc>
          <w:tcPr>
            <w:tcW w:w="2381" w:type="dxa"/>
            <w:tcBorders>
              <w:top w:val="single" w:color="auto" w:sz="4" w:space="0"/>
              <w:bottom w:val="single" w:color="auto" w:sz="4" w:space="0"/>
              <w:right w:val="single" w:color="auto" w:sz="4" w:space="0"/>
            </w:tcBorders>
            <w:vAlign w:val="center"/>
          </w:tcPr>
          <w:p w14:paraId="5B1771A5">
            <w:pPr>
              <w:pStyle w:val="59"/>
              <w:ind w:firstLine="360"/>
              <w:rPr>
                <w:rFonts w:ascii="Times New Roman"/>
                <w:sz w:val="18"/>
                <w:szCs w:val="18"/>
              </w:rPr>
            </w:pPr>
          </w:p>
          <w:p w14:paraId="2D6FB8C2">
            <w:pPr>
              <w:pStyle w:val="59"/>
              <w:ind w:firstLine="360"/>
              <w:rPr>
                <w:rFonts w:ascii="Times New Roman"/>
                <w:sz w:val="18"/>
                <w:szCs w:val="18"/>
              </w:rPr>
            </w:pPr>
          </w:p>
          <w:p w14:paraId="320FC0F2">
            <w:pPr>
              <w:pStyle w:val="59"/>
              <w:ind w:firstLine="360"/>
              <w:rPr>
                <w:rFonts w:ascii="Times New Roman"/>
                <w:sz w:val="18"/>
                <w:szCs w:val="18"/>
              </w:rPr>
            </w:pPr>
            <w:r>
              <w:rPr>
                <w:rFonts w:ascii="Times New Roman"/>
                <w:sz w:val="18"/>
                <w:szCs w:val="18"/>
              </w:rPr>
              <w:t>培</w:t>
            </w:r>
          </w:p>
          <w:p w14:paraId="2169CEEB">
            <w:pPr>
              <w:pStyle w:val="59"/>
              <w:ind w:firstLine="360"/>
              <w:rPr>
                <w:rFonts w:ascii="Times New Roman"/>
                <w:sz w:val="18"/>
                <w:szCs w:val="18"/>
              </w:rPr>
            </w:pPr>
            <w:r>
              <w:rPr>
                <w:rFonts w:ascii="Times New Roman"/>
                <w:sz w:val="18"/>
                <w:szCs w:val="18"/>
              </w:rPr>
              <w:t>训</w:t>
            </w:r>
          </w:p>
          <w:p w14:paraId="7333E064">
            <w:pPr>
              <w:pStyle w:val="59"/>
              <w:ind w:firstLine="360"/>
              <w:rPr>
                <w:rFonts w:ascii="Times New Roman"/>
                <w:sz w:val="18"/>
                <w:szCs w:val="18"/>
              </w:rPr>
            </w:pPr>
            <w:r>
              <w:rPr>
                <w:rFonts w:ascii="Times New Roman"/>
                <w:sz w:val="18"/>
                <w:szCs w:val="18"/>
              </w:rPr>
              <w:t>经</w:t>
            </w:r>
          </w:p>
          <w:p w14:paraId="2834400F">
            <w:pPr>
              <w:pStyle w:val="59"/>
              <w:ind w:firstLine="360"/>
              <w:rPr>
                <w:rFonts w:ascii="Times New Roman"/>
                <w:sz w:val="18"/>
                <w:szCs w:val="18"/>
              </w:rPr>
            </w:pPr>
            <w:r>
              <w:rPr>
                <w:rFonts w:ascii="Times New Roman"/>
                <w:sz w:val="18"/>
                <w:szCs w:val="18"/>
              </w:rPr>
              <w:t>历</w:t>
            </w:r>
          </w:p>
          <w:p w14:paraId="778A504B">
            <w:pPr>
              <w:pStyle w:val="59"/>
              <w:ind w:firstLine="360"/>
              <w:rPr>
                <w:rFonts w:ascii="Times New Roman"/>
                <w:sz w:val="18"/>
                <w:szCs w:val="18"/>
              </w:rPr>
            </w:pPr>
          </w:p>
        </w:tc>
        <w:tc>
          <w:tcPr>
            <w:tcW w:w="7224" w:type="dxa"/>
            <w:gridSpan w:val="5"/>
            <w:tcBorders>
              <w:top w:val="single" w:color="auto" w:sz="4" w:space="0"/>
              <w:left w:val="single" w:color="auto" w:sz="4" w:space="0"/>
              <w:bottom w:val="single" w:color="auto" w:sz="4" w:space="0"/>
            </w:tcBorders>
            <w:vAlign w:val="center"/>
          </w:tcPr>
          <w:p w14:paraId="10374D14">
            <w:pPr>
              <w:pStyle w:val="59"/>
              <w:ind w:firstLine="360"/>
              <w:rPr>
                <w:rFonts w:ascii="Times New Roman"/>
                <w:sz w:val="18"/>
                <w:szCs w:val="18"/>
              </w:rPr>
            </w:pPr>
          </w:p>
        </w:tc>
      </w:tr>
      <w:tr w14:paraId="5B3B019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4" w:hRule="atLeast"/>
          <w:jc w:val="center"/>
        </w:trPr>
        <w:tc>
          <w:tcPr>
            <w:tcW w:w="2381" w:type="dxa"/>
            <w:tcBorders>
              <w:top w:val="single" w:color="auto" w:sz="4" w:space="0"/>
              <w:bottom w:val="single" w:color="auto" w:sz="4" w:space="0"/>
              <w:right w:val="single" w:color="auto" w:sz="4" w:space="0"/>
            </w:tcBorders>
            <w:vAlign w:val="center"/>
          </w:tcPr>
          <w:p w14:paraId="45E0F174">
            <w:pPr>
              <w:pStyle w:val="59"/>
              <w:ind w:firstLine="360"/>
              <w:rPr>
                <w:rFonts w:ascii="Times New Roman"/>
                <w:sz w:val="18"/>
                <w:szCs w:val="18"/>
              </w:rPr>
            </w:pPr>
          </w:p>
          <w:p w14:paraId="619BD99D">
            <w:pPr>
              <w:pStyle w:val="59"/>
              <w:ind w:firstLine="360"/>
              <w:rPr>
                <w:rFonts w:ascii="Times New Roman"/>
                <w:sz w:val="18"/>
                <w:szCs w:val="18"/>
              </w:rPr>
            </w:pPr>
            <w:r>
              <w:rPr>
                <w:rFonts w:ascii="Times New Roman"/>
                <w:sz w:val="18"/>
                <w:szCs w:val="18"/>
              </w:rPr>
              <w:t>技</w:t>
            </w:r>
          </w:p>
          <w:p w14:paraId="32F83A25">
            <w:pPr>
              <w:pStyle w:val="59"/>
              <w:ind w:firstLine="360"/>
              <w:rPr>
                <w:rFonts w:ascii="Times New Roman"/>
                <w:sz w:val="18"/>
                <w:szCs w:val="18"/>
              </w:rPr>
            </w:pPr>
            <w:r>
              <w:rPr>
                <w:rFonts w:ascii="Times New Roman"/>
                <w:sz w:val="18"/>
                <w:szCs w:val="18"/>
              </w:rPr>
              <w:t>能</w:t>
            </w:r>
          </w:p>
          <w:p w14:paraId="77DB7CAC">
            <w:pPr>
              <w:pStyle w:val="59"/>
              <w:ind w:firstLine="360"/>
              <w:rPr>
                <w:rFonts w:ascii="Times New Roman"/>
                <w:sz w:val="18"/>
                <w:szCs w:val="18"/>
              </w:rPr>
            </w:pPr>
            <w:r>
              <w:rPr>
                <w:rFonts w:ascii="Times New Roman"/>
                <w:sz w:val="18"/>
                <w:szCs w:val="18"/>
              </w:rPr>
              <w:t>自</w:t>
            </w:r>
          </w:p>
          <w:p w14:paraId="3A4ACD84">
            <w:pPr>
              <w:pStyle w:val="59"/>
              <w:ind w:firstLine="360"/>
              <w:rPr>
                <w:rFonts w:ascii="Times New Roman"/>
                <w:sz w:val="18"/>
                <w:szCs w:val="18"/>
              </w:rPr>
            </w:pPr>
            <w:r>
              <w:rPr>
                <w:rFonts w:ascii="Times New Roman"/>
                <w:sz w:val="18"/>
                <w:szCs w:val="18"/>
              </w:rPr>
              <w:t>评</w:t>
            </w:r>
          </w:p>
          <w:p w14:paraId="62BB24AE">
            <w:pPr>
              <w:pStyle w:val="59"/>
              <w:ind w:firstLine="360"/>
              <w:rPr>
                <w:rFonts w:ascii="Times New Roman"/>
                <w:sz w:val="18"/>
                <w:szCs w:val="18"/>
              </w:rPr>
            </w:pPr>
          </w:p>
        </w:tc>
        <w:tc>
          <w:tcPr>
            <w:tcW w:w="7224" w:type="dxa"/>
            <w:gridSpan w:val="5"/>
            <w:tcBorders>
              <w:top w:val="single" w:color="auto" w:sz="4" w:space="0"/>
              <w:left w:val="single" w:color="auto" w:sz="4" w:space="0"/>
              <w:bottom w:val="single" w:color="auto" w:sz="4" w:space="0"/>
            </w:tcBorders>
            <w:vAlign w:val="center"/>
          </w:tcPr>
          <w:p w14:paraId="407B1E59">
            <w:pPr>
              <w:pStyle w:val="59"/>
              <w:ind w:firstLine="360"/>
              <w:rPr>
                <w:rFonts w:ascii="Times New Roman"/>
                <w:sz w:val="18"/>
                <w:szCs w:val="18"/>
              </w:rPr>
            </w:pPr>
          </w:p>
          <w:p w14:paraId="4E480ED4">
            <w:pPr>
              <w:pStyle w:val="59"/>
              <w:ind w:firstLine="360"/>
              <w:rPr>
                <w:rFonts w:ascii="Times New Roman"/>
                <w:sz w:val="18"/>
                <w:szCs w:val="18"/>
              </w:rPr>
            </w:pPr>
            <w:r>
              <w:rPr>
                <w:rFonts w:ascii="Times New Roman"/>
                <w:sz w:val="18"/>
                <w:szCs w:val="18"/>
              </w:rPr>
              <w:t>咖啡种植流程的熟悉</w:t>
            </w:r>
          </w:p>
          <w:p w14:paraId="3D6DB455">
            <w:pPr>
              <w:pStyle w:val="59"/>
              <w:ind w:firstLine="360"/>
              <w:rPr>
                <w:rFonts w:ascii="Times New Roman"/>
                <w:sz w:val="18"/>
                <w:szCs w:val="18"/>
              </w:rPr>
            </w:pPr>
            <w:r>
              <w:rPr>
                <w:rFonts w:ascii="Times New Roman"/>
                <w:sz w:val="18"/>
                <w:szCs w:val="18"/>
              </w:rPr>
              <w:t>咖啡种植过程的参与程度</w:t>
            </w:r>
          </w:p>
          <w:p w14:paraId="34ABE823">
            <w:pPr>
              <w:pStyle w:val="59"/>
              <w:ind w:firstLine="360"/>
              <w:rPr>
                <w:rFonts w:ascii="Times New Roman"/>
                <w:sz w:val="18"/>
                <w:szCs w:val="18"/>
              </w:rPr>
            </w:pPr>
            <w:r>
              <w:rPr>
                <w:rFonts w:ascii="Times New Roman"/>
                <w:sz w:val="18"/>
                <w:szCs w:val="18"/>
              </w:rPr>
              <w:t>咖啡采摘速度</w:t>
            </w:r>
            <w:r>
              <w:rPr>
                <w:rFonts w:ascii="Times New Roman"/>
                <w:sz w:val="18"/>
                <w:szCs w:val="18"/>
              </w:rPr>
              <w:tab/>
            </w:r>
            <w:r>
              <w:rPr>
                <w:rFonts w:ascii="Times New Roman"/>
                <w:sz w:val="18"/>
                <w:szCs w:val="18"/>
              </w:rPr>
              <w:tab/>
            </w:r>
          </w:p>
          <w:p w14:paraId="41F55697">
            <w:pPr>
              <w:pStyle w:val="59"/>
              <w:ind w:firstLine="360"/>
              <w:rPr>
                <w:rFonts w:ascii="Times New Roman"/>
                <w:sz w:val="18"/>
                <w:szCs w:val="18"/>
              </w:rPr>
            </w:pPr>
            <w:r>
              <w:rPr>
                <w:rFonts w:ascii="Times New Roman"/>
                <w:sz w:val="18"/>
                <w:szCs w:val="18"/>
              </w:rPr>
              <w:t>咖啡采摘质量</w:t>
            </w:r>
            <w:r>
              <w:rPr>
                <w:rFonts w:ascii="Times New Roman"/>
                <w:sz w:val="18"/>
                <w:szCs w:val="18"/>
              </w:rPr>
              <w:tab/>
            </w:r>
            <w:r>
              <w:rPr>
                <w:rFonts w:ascii="Times New Roman"/>
                <w:sz w:val="18"/>
                <w:szCs w:val="18"/>
              </w:rPr>
              <w:tab/>
            </w:r>
          </w:p>
          <w:p w14:paraId="7C07AA74">
            <w:pPr>
              <w:pStyle w:val="59"/>
              <w:ind w:firstLine="360"/>
              <w:rPr>
                <w:rFonts w:ascii="Times New Roman"/>
                <w:sz w:val="18"/>
                <w:szCs w:val="18"/>
              </w:rPr>
            </w:pPr>
            <w:r>
              <w:rPr>
                <w:rFonts w:ascii="Times New Roman"/>
                <w:sz w:val="18"/>
                <w:szCs w:val="18"/>
              </w:rPr>
              <w:t>工具使用熟练度</w:t>
            </w:r>
            <w:r>
              <w:rPr>
                <w:rFonts w:ascii="Times New Roman"/>
                <w:sz w:val="18"/>
                <w:szCs w:val="18"/>
              </w:rPr>
              <w:tab/>
            </w:r>
            <w:r>
              <w:rPr>
                <w:rFonts w:ascii="Times New Roman"/>
                <w:sz w:val="18"/>
                <w:szCs w:val="18"/>
              </w:rPr>
              <w:tab/>
            </w:r>
          </w:p>
          <w:p w14:paraId="4D232EE8">
            <w:pPr>
              <w:pStyle w:val="59"/>
              <w:ind w:firstLine="360"/>
              <w:rPr>
                <w:rFonts w:ascii="Times New Roman"/>
                <w:sz w:val="18"/>
                <w:szCs w:val="18"/>
              </w:rPr>
            </w:pPr>
            <w:r>
              <w:rPr>
                <w:rFonts w:ascii="Times New Roman"/>
                <w:sz w:val="18"/>
                <w:szCs w:val="18"/>
              </w:rPr>
              <w:t>安全意识</w:t>
            </w:r>
            <w:r>
              <w:rPr>
                <w:rFonts w:ascii="Times New Roman"/>
                <w:sz w:val="18"/>
                <w:szCs w:val="18"/>
              </w:rPr>
              <w:tab/>
            </w:r>
            <w:r>
              <w:rPr>
                <w:rFonts w:ascii="Times New Roman"/>
                <w:sz w:val="18"/>
                <w:szCs w:val="18"/>
              </w:rPr>
              <w:tab/>
            </w:r>
          </w:p>
          <w:p w14:paraId="59CB6368">
            <w:pPr>
              <w:pStyle w:val="59"/>
              <w:ind w:firstLine="360"/>
              <w:rPr>
                <w:rFonts w:ascii="Times New Roman"/>
                <w:sz w:val="18"/>
                <w:szCs w:val="18"/>
              </w:rPr>
            </w:pPr>
            <w:r>
              <w:rPr>
                <w:rFonts w:ascii="Times New Roman"/>
                <w:sz w:val="18"/>
                <w:szCs w:val="18"/>
              </w:rPr>
              <w:t>团队合作能力</w:t>
            </w:r>
            <w:r>
              <w:rPr>
                <w:rFonts w:ascii="Times New Roman"/>
                <w:sz w:val="18"/>
                <w:szCs w:val="18"/>
              </w:rPr>
              <w:tab/>
            </w:r>
            <w:r>
              <w:rPr>
                <w:rFonts w:ascii="Times New Roman"/>
                <w:sz w:val="18"/>
                <w:szCs w:val="18"/>
              </w:rPr>
              <w:tab/>
            </w:r>
          </w:p>
          <w:p w14:paraId="6AB1608C">
            <w:pPr>
              <w:pStyle w:val="59"/>
              <w:ind w:firstLine="360"/>
              <w:rPr>
                <w:rFonts w:ascii="Times New Roman"/>
                <w:sz w:val="18"/>
                <w:szCs w:val="18"/>
              </w:rPr>
            </w:pPr>
            <w:r>
              <w:rPr>
                <w:rFonts w:ascii="Times New Roman"/>
                <w:sz w:val="18"/>
                <w:szCs w:val="18"/>
              </w:rPr>
              <w:t>推荐人信息</w:t>
            </w:r>
          </w:p>
          <w:p w14:paraId="31D1DDE9">
            <w:pPr>
              <w:pStyle w:val="59"/>
              <w:ind w:firstLine="360"/>
              <w:rPr>
                <w:rFonts w:ascii="Times New Roman"/>
                <w:sz w:val="18"/>
                <w:szCs w:val="18"/>
              </w:rPr>
            </w:pPr>
          </w:p>
        </w:tc>
      </w:tr>
      <w:tr w14:paraId="3D51618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4" w:hRule="atLeast"/>
          <w:jc w:val="center"/>
        </w:trPr>
        <w:tc>
          <w:tcPr>
            <w:tcW w:w="2381" w:type="dxa"/>
            <w:tcBorders>
              <w:top w:val="single" w:color="auto" w:sz="4" w:space="0"/>
              <w:bottom w:val="single" w:color="auto" w:sz="4" w:space="0"/>
              <w:right w:val="single" w:color="auto" w:sz="4" w:space="0"/>
            </w:tcBorders>
            <w:vAlign w:val="center"/>
          </w:tcPr>
          <w:p w14:paraId="01B81449">
            <w:pPr>
              <w:pStyle w:val="59"/>
              <w:ind w:firstLine="360"/>
              <w:rPr>
                <w:rFonts w:ascii="Times New Roman"/>
                <w:sz w:val="18"/>
                <w:szCs w:val="18"/>
              </w:rPr>
            </w:pPr>
          </w:p>
          <w:p w14:paraId="0DEEEA9F">
            <w:pPr>
              <w:pStyle w:val="59"/>
              <w:ind w:firstLine="360"/>
              <w:rPr>
                <w:rFonts w:ascii="Times New Roman"/>
                <w:sz w:val="18"/>
                <w:szCs w:val="18"/>
              </w:rPr>
            </w:pPr>
            <w:r>
              <w:rPr>
                <w:rFonts w:ascii="Times New Roman"/>
                <w:sz w:val="18"/>
                <w:szCs w:val="18"/>
              </w:rPr>
              <w:t>申</w:t>
            </w:r>
          </w:p>
          <w:p w14:paraId="21AB8EC9">
            <w:pPr>
              <w:pStyle w:val="59"/>
              <w:ind w:firstLine="360"/>
              <w:rPr>
                <w:rFonts w:ascii="Times New Roman"/>
                <w:sz w:val="18"/>
                <w:szCs w:val="18"/>
              </w:rPr>
            </w:pPr>
            <w:r>
              <w:rPr>
                <w:rFonts w:ascii="Times New Roman"/>
                <w:sz w:val="18"/>
                <w:szCs w:val="18"/>
              </w:rPr>
              <w:t>报</w:t>
            </w:r>
          </w:p>
          <w:p w14:paraId="4D918844">
            <w:pPr>
              <w:pStyle w:val="59"/>
              <w:ind w:firstLine="360"/>
              <w:rPr>
                <w:rFonts w:ascii="Times New Roman"/>
                <w:sz w:val="18"/>
                <w:szCs w:val="18"/>
              </w:rPr>
            </w:pPr>
            <w:r>
              <w:rPr>
                <w:rFonts w:ascii="Times New Roman"/>
                <w:sz w:val="18"/>
                <w:szCs w:val="18"/>
              </w:rPr>
              <w:t>人</w:t>
            </w:r>
          </w:p>
          <w:p w14:paraId="63256AF9">
            <w:pPr>
              <w:pStyle w:val="59"/>
              <w:ind w:firstLine="360"/>
              <w:rPr>
                <w:rFonts w:ascii="Times New Roman"/>
                <w:sz w:val="18"/>
                <w:szCs w:val="18"/>
              </w:rPr>
            </w:pPr>
            <w:r>
              <w:rPr>
                <w:rFonts w:ascii="Times New Roman"/>
                <w:sz w:val="18"/>
                <w:szCs w:val="18"/>
              </w:rPr>
              <w:t>签</w:t>
            </w:r>
          </w:p>
          <w:p w14:paraId="2D85BD3B">
            <w:pPr>
              <w:pStyle w:val="59"/>
              <w:ind w:firstLine="360"/>
              <w:rPr>
                <w:rFonts w:ascii="Times New Roman"/>
                <w:sz w:val="18"/>
                <w:szCs w:val="18"/>
              </w:rPr>
            </w:pPr>
            <w:r>
              <w:rPr>
                <w:rFonts w:ascii="Times New Roman"/>
                <w:sz w:val="18"/>
                <w:szCs w:val="18"/>
              </w:rPr>
              <w:t>字</w:t>
            </w:r>
          </w:p>
          <w:p w14:paraId="7EB9540D">
            <w:pPr>
              <w:pStyle w:val="59"/>
              <w:ind w:firstLine="360"/>
              <w:rPr>
                <w:rFonts w:ascii="Times New Roman"/>
                <w:sz w:val="18"/>
                <w:szCs w:val="18"/>
              </w:rPr>
            </w:pPr>
          </w:p>
        </w:tc>
        <w:tc>
          <w:tcPr>
            <w:tcW w:w="7224" w:type="dxa"/>
            <w:gridSpan w:val="5"/>
            <w:tcBorders>
              <w:top w:val="single" w:color="auto" w:sz="4" w:space="0"/>
              <w:left w:val="single" w:color="auto" w:sz="4" w:space="0"/>
              <w:bottom w:val="single" w:color="auto" w:sz="4" w:space="0"/>
            </w:tcBorders>
            <w:vAlign w:val="center"/>
          </w:tcPr>
          <w:p w14:paraId="26DA6BD6">
            <w:pPr>
              <w:pStyle w:val="59"/>
              <w:ind w:firstLine="360"/>
              <w:rPr>
                <w:rFonts w:ascii="Times New Roman"/>
                <w:sz w:val="18"/>
                <w:szCs w:val="18"/>
              </w:rPr>
            </w:pPr>
          </w:p>
          <w:p w14:paraId="2467C6FD">
            <w:pPr>
              <w:pStyle w:val="59"/>
              <w:ind w:firstLine="360"/>
              <w:rPr>
                <w:rFonts w:ascii="Times New Roman"/>
                <w:sz w:val="18"/>
                <w:szCs w:val="18"/>
              </w:rPr>
            </w:pPr>
            <w:r>
              <w:rPr>
                <w:rFonts w:ascii="Times New Roman"/>
                <w:sz w:val="18"/>
                <w:szCs w:val="18"/>
              </w:rPr>
              <w:t>本人承诺以上所填信息真实、准确，如有虚假，愿意承担相应责任。</w:t>
            </w:r>
          </w:p>
          <w:p w14:paraId="3C498E02">
            <w:pPr>
              <w:pStyle w:val="59"/>
              <w:ind w:firstLine="360"/>
              <w:rPr>
                <w:rFonts w:ascii="Times New Roman"/>
                <w:sz w:val="18"/>
                <w:szCs w:val="18"/>
              </w:rPr>
            </w:pPr>
          </w:p>
          <w:p w14:paraId="6CD9C21C">
            <w:pPr>
              <w:pStyle w:val="59"/>
              <w:ind w:firstLine="360"/>
              <w:rPr>
                <w:rFonts w:ascii="Times New Roman"/>
                <w:sz w:val="18"/>
                <w:szCs w:val="18"/>
              </w:rPr>
            </w:pPr>
            <w:r>
              <w:rPr>
                <w:rFonts w:ascii="Times New Roman"/>
                <w:sz w:val="18"/>
                <w:szCs w:val="18"/>
              </w:rPr>
              <w:t>申请人签名：_________________</w:t>
            </w:r>
          </w:p>
          <w:p w14:paraId="78F88EC6">
            <w:pPr>
              <w:pStyle w:val="59"/>
              <w:ind w:firstLine="360"/>
              <w:rPr>
                <w:rFonts w:ascii="Times New Roman"/>
                <w:sz w:val="18"/>
                <w:szCs w:val="18"/>
              </w:rPr>
            </w:pPr>
            <w:r>
              <w:rPr>
                <w:rFonts w:ascii="Times New Roman"/>
                <w:sz w:val="18"/>
                <w:szCs w:val="18"/>
              </w:rPr>
              <w:t>日期：_________________</w:t>
            </w:r>
          </w:p>
          <w:p w14:paraId="728A43A1">
            <w:pPr>
              <w:pStyle w:val="59"/>
              <w:ind w:firstLine="360"/>
              <w:rPr>
                <w:rFonts w:ascii="Times New Roman"/>
                <w:sz w:val="18"/>
                <w:szCs w:val="18"/>
              </w:rPr>
            </w:pPr>
          </w:p>
        </w:tc>
      </w:tr>
      <w:tr w14:paraId="583EFAF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4" w:hRule="atLeast"/>
          <w:jc w:val="center"/>
        </w:trPr>
        <w:tc>
          <w:tcPr>
            <w:tcW w:w="2381" w:type="dxa"/>
            <w:tcBorders>
              <w:top w:val="single" w:color="auto" w:sz="4" w:space="0"/>
              <w:right w:val="single" w:color="auto" w:sz="4" w:space="0"/>
            </w:tcBorders>
            <w:vAlign w:val="center"/>
          </w:tcPr>
          <w:p w14:paraId="7616B953">
            <w:pPr>
              <w:pStyle w:val="59"/>
              <w:ind w:firstLine="360"/>
              <w:rPr>
                <w:rFonts w:ascii="Times New Roman"/>
                <w:sz w:val="18"/>
                <w:szCs w:val="18"/>
              </w:rPr>
            </w:pPr>
          </w:p>
          <w:p w14:paraId="60D0A414">
            <w:pPr>
              <w:pStyle w:val="59"/>
              <w:ind w:firstLine="360"/>
              <w:rPr>
                <w:rFonts w:ascii="Times New Roman"/>
                <w:sz w:val="18"/>
                <w:szCs w:val="18"/>
              </w:rPr>
            </w:pPr>
            <w:r>
              <w:rPr>
                <w:rFonts w:ascii="Times New Roman"/>
                <w:sz w:val="18"/>
                <w:szCs w:val="18"/>
              </w:rPr>
              <w:t>评</w:t>
            </w:r>
          </w:p>
          <w:p w14:paraId="3F338814">
            <w:pPr>
              <w:pStyle w:val="59"/>
              <w:ind w:firstLine="360"/>
              <w:rPr>
                <w:rFonts w:ascii="Times New Roman"/>
                <w:sz w:val="18"/>
                <w:szCs w:val="18"/>
              </w:rPr>
            </w:pPr>
            <w:r>
              <w:rPr>
                <w:rFonts w:ascii="Times New Roman"/>
                <w:sz w:val="18"/>
                <w:szCs w:val="18"/>
              </w:rPr>
              <w:t>定</w:t>
            </w:r>
          </w:p>
          <w:p w14:paraId="36F847ED">
            <w:pPr>
              <w:pStyle w:val="59"/>
              <w:ind w:firstLine="360"/>
              <w:rPr>
                <w:rFonts w:ascii="Times New Roman"/>
                <w:sz w:val="18"/>
                <w:szCs w:val="18"/>
              </w:rPr>
            </w:pPr>
            <w:r>
              <w:rPr>
                <w:rFonts w:ascii="Times New Roman"/>
                <w:sz w:val="18"/>
                <w:szCs w:val="18"/>
              </w:rPr>
              <w:t>机</w:t>
            </w:r>
          </w:p>
          <w:p w14:paraId="6DEC0EB6">
            <w:pPr>
              <w:pStyle w:val="59"/>
              <w:ind w:firstLine="360"/>
              <w:rPr>
                <w:rFonts w:ascii="Times New Roman"/>
                <w:sz w:val="18"/>
                <w:szCs w:val="18"/>
              </w:rPr>
            </w:pPr>
            <w:r>
              <w:rPr>
                <w:rFonts w:ascii="Times New Roman"/>
                <w:sz w:val="18"/>
                <w:szCs w:val="18"/>
              </w:rPr>
              <w:t>构</w:t>
            </w:r>
          </w:p>
          <w:p w14:paraId="13FD3E20">
            <w:pPr>
              <w:pStyle w:val="59"/>
              <w:ind w:firstLine="360"/>
              <w:rPr>
                <w:rFonts w:ascii="Times New Roman"/>
                <w:sz w:val="18"/>
                <w:szCs w:val="18"/>
              </w:rPr>
            </w:pPr>
            <w:r>
              <w:rPr>
                <w:rFonts w:ascii="Times New Roman"/>
                <w:sz w:val="18"/>
                <w:szCs w:val="18"/>
              </w:rPr>
              <w:t>意</w:t>
            </w:r>
          </w:p>
          <w:p w14:paraId="75451B94">
            <w:pPr>
              <w:pStyle w:val="59"/>
              <w:ind w:firstLine="360"/>
              <w:rPr>
                <w:rFonts w:ascii="Times New Roman"/>
                <w:sz w:val="18"/>
                <w:szCs w:val="18"/>
              </w:rPr>
            </w:pPr>
            <w:r>
              <w:rPr>
                <w:rFonts w:ascii="Times New Roman"/>
                <w:sz w:val="18"/>
                <w:szCs w:val="18"/>
              </w:rPr>
              <w:t>见</w:t>
            </w:r>
          </w:p>
          <w:p w14:paraId="773FE151">
            <w:pPr>
              <w:pStyle w:val="59"/>
              <w:ind w:firstLine="360"/>
              <w:rPr>
                <w:rFonts w:ascii="Times New Roman"/>
                <w:sz w:val="18"/>
                <w:szCs w:val="18"/>
              </w:rPr>
            </w:pPr>
          </w:p>
        </w:tc>
        <w:tc>
          <w:tcPr>
            <w:tcW w:w="7224" w:type="dxa"/>
            <w:gridSpan w:val="5"/>
            <w:tcBorders>
              <w:top w:val="single" w:color="auto" w:sz="4" w:space="0"/>
              <w:left w:val="single" w:color="auto" w:sz="4" w:space="0"/>
            </w:tcBorders>
            <w:vAlign w:val="center"/>
          </w:tcPr>
          <w:p w14:paraId="68B3D7A2">
            <w:pPr>
              <w:pStyle w:val="59"/>
              <w:ind w:firstLine="360"/>
              <w:rPr>
                <w:rFonts w:ascii="Times New Roman"/>
                <w:sz w:val="18"/>
                <w:szCs w:val="18"/>
              </w:rPr>
            </w:pPr>
          </w:p>
          <w:p w14:paraId="566461C1">
            <w:pPr>
              <w:pStyle w:val="59"/>
              <w:ind w:firstLine="360"/>
              <w:rPr>
                <w:rFonts w:ascii="Times New Roman"/>
                <w:sz w:val="18"/>
                <w:szCs w:val="18"/>
              </w:rPr>
            </w:pPr>
            <w:r>
              <w:rPr>
                <w:rFonts w:ascii="Times New Roman"/>
                <w:sz w:val="18"/>
                <w:szCs w:val="18"/>
              </w:rPr>
              <w:t>评定等级：初级、中级、高级。</w:t>
            </w:r>
            <w:r>
              <w:rPr>
                <w:rFonts w:ascii="Times New Roman"/>
                <w:sz w:val="18"/>
                <w:szCs w:val="18"/>
              </w:rPr>
              <w:tab/>
            </w:r>
          </w:p>
          <w:p w14:paraId="64070546">
            <w:pPr>
              <w:pStyle w:val="59"/>
              <w:ind w:firstLine="360"/>
              <w:rPr>
                <w:rFonts w:ascii="Times New Roman"/>
                <w:sz w:val="18"/>
                <w:szCs w:val="18"/>
              </w:rPr>
            </w:pPr>
          </w:p>
          <w:p w14:paraId="7C62384D">
            <w:pPr>
              <w:pStyle w:val="59"/>
              <w:ind w:firstLine="360"/>
              <w:rPr>
                <w:rFonts w:ascii="Times New Roman"/>
                <w:sz w:val="18"/>
                <w:szCs w:val="18"/>
              </w:rPr>
            </w:pPr>
            <w:r>
              <w:rPr>
                <w:rFonts w:ascii="Times New Roman"/>
                <w:sz w:val="18"/>
                <w:szCs w:val="18"/>
              </w:rPr>
              <w:t>评定意见</w:t>
            </w:r>
            <w:r>
              <w:rPr>
                <w:rFonts w:ascii="Times New Roman"/>
                <w:sz w:val="18"/>
                <w:szCs w:val="18"/>
              </w:rPr>
              <w:tab/>
            </w:r>
          </w:p>
          <w:p w14:paraId="5F16D510">
            <w:pPr>
              <w:pStyle w:val="59"/>
              <w:ind w:firstLine="360"/>
              <w:rPr>
                <w:rFonts w:ascii="Times New Roman"/>
                <w:sz w:val="18"/>
                <w:szCs w:val="18"/>
              </w:rPr>
            </w:pPr>
            <w:r>
              <w:rPr>
                <w:rFonts w:ascii="Times New Roman"/>
                <w:sz w:val="18"/>
                <w:szCs w:val="18"/>
              </w:rPr>
              <w:t>评定人签名</w:t>
            </w:r>
            <w:r>
              <w:rPr>
                <w:rFonts w:ascii="Times New Roman"/>
                <w:sz w:val="18"/>
                <w:szCs w:val="18"/>
              </w:rPr>
              <w:tab/>
            </w:r>
          </w:p>
          <w:p w14:paraId="09F8A0A8">
            <w:pPr>
              <w:pStyle w:val="59"/>
              <w:ind w:firstLine="360"/>
              <w:rPr>
                <w:rFonts w:ascii="Times New Roman"/>
                <w:sz w:val="18"/>
                <w:szCs w:val="18"/>
              </w:rPr>
            </w:pPr>
            <w:r>
              <w:rPr>
                <w:rFonts w:ascii="Times New Roman"/>
                <w:sz w:val="18"/>
                <w:szCs w:val="18"/>
              </w:rPr>
              <w:t>评定日期</w:t>
            </w:r>
            <w:r>
              <w:rPr>
                <w:rFonts w:ascii="Times New Roman"/>
                <w:sz w:val="18"/>
                <w:szCs w:val="18"/>
              </w:rPr>
              <w:tab/>
            </w:r>
          </w:p>
          <w:p w14:paraId="2237F858">
            <w:pPr>
              <w:pStyle w:val="59"/>
              <w:ind w:firstLine="360"/>
              <w:rPr>
                <w:rFonts w:ascii="Times New Roman"/>
                <w:sz w:val="18"/>
                <w:szCs w:val="18"/>
              </w:rPr>
            </w:pPr>
          </w:p>
        </w:tc>
      </w:tr>
    </w:tbl>
    <w:p w14:paraId="032FD6DE">
      <w:pPr>
        <w:pStyle w:val="182"/>
      </w:pPr>
      <w:r>
        <w:rPr>
          <w:rFonts w:hint="eastAsia"/>
        </w:rPr>
        <w:t>所需附件：身份证复印件、相关培训证书复印件、工作经历证明材料、其他相关证明材料</w:t>
      </w:r>
    </w:p>
    <w:p w14:paraId="5D52A809">
      <w:pPr>
        <w:pStyle w:val="59"/>
        <w:ind w:firstLine="0" w:firstLineChars="0"/>
        <w:sectPr>
          <w:pgSz w:w="11906" w:h="16838"/>
          <w:pgMar w:top="1928" w:right="1134" w:bottom="1134" w:left="1134" w:header="1418" w:footer="1134" w:gutter="284"/>
          <w:cols w:space="425" w:num="1"/>
          <w:formProt w:val="0"/>
          <w:docGrid w:linePitch="312" w:charSpace="0"/>
        </w:sectPr>
      </w:pPr>
    </w:p>
    <w:p w14:paraId="4705539D">
      <w:pPr>
        <w:pStyle w:val="201"/>
        <w:rPr>
          <w:rFonts w:hint="eastAsia"/>
        </w:rPr>
      </w:pPr>
    </w:p>
    <w:p w14:paraId="32657F8F">
      <w:pPr>
        <w:pStyle w:val="202"/>
      </w:pPr>
    </w:p>
    <w:p w14:paraId="7ADB5C66">
      <w:pPr>
        <w:pStyle w:val="79"/>
        <w:spacing w:after="120"/>
      </w:pPr>
      <w:r>
        <w:br w:type="textWrapping"/>
      </w:r>
      <w:bookmarkStart w:id="198" w:name="_Toc200655860"/>
      <w:bookmarkStart w:id="199" w:name="_Toc198559392"/>
      <w:r>
        <w:rPr>
          <w:rFonts w:hint="eastAsia"/>
        </w:rPr>
        <w:t>（资料性）</w:t>
      </w:r>
      <w:r>
        <w:br w:type="textWrapping"/>
      </w:r>
      <w:r>
        <w:rPr>
          <w:rFonts w:hint="eastAsia"/>
        </w:rPr>
        <w:t>兴隆咖啡师劳务品牌  种植类人员（采摘）能力证书样式</w:t>
      </w:r>
      <w:bookmarkEnd w:id="198"/>
      <w:bookmarkEnd w:id="199"/>
    </w:p>
    <w:p w14:paraId="4C74B1E3">
      <w:pPr>
        <w:pStyle w:val="59"/>
        <w:ind w:firstLine="420"/>
        <w:rPr>
          <w:color w:val="EE0000"/>
        </w:rPr>
      </w:pPr>
    </w:p>
    <w:p w14:paraId="33D91C9E">
      <w:pPr>
        <w:pStyle w:val="59"/>
        <w:ind w:firstLine="420"/>
      </w:pPr>
      <w:r>
        <w:rPr>
          <w:rFonts w:hint="eastAsia"/>
        </w:rPr>
        <w:t>证书编号：__________</w:t>
      </w:r>
    </w:p>
    <w:p w14:paraId="2B2BBA5B">
      <w:pPr>
        <w:pStyle w:val="59"/>
        <w:ind w:firstLine="420"/>
      </w:pPr>
      <w:r>
        <w:rPr>
          <w:rFonts w:hint="eastAsia"/>
        </w:rPr>
        <w:t>发证日期：__________</w:t>
      </w:r>
    </w:p>
    <w:p w14:paraId="4799108C">
      <w:pPr>
        <w:pStyle w:val="59"/>
        <w:ind w:firstLine="420"/>
      </w:pPr>
    </w:p>
    <w:p w14:paraId="561C9C61">
      <w:pPr>
        <w:pStyle w:val="59"/>
        <w:ind w:firstLine="420"/>
      </w:pPr>
      <w:r>
        <w:rPr>
          <w:rFonts w:hint="eastAsia"/>
        </w:rPr>
        <w:t>持证人信息</w:t>
      </w:r>
    </w:p>
    <w:p w14:paraId="22A8270E">
      <w:pPr>
        <w:pStyle w:val="59"/>
        <w:ind w:firstLine="420"/>
      </w:pPr>
      <w:r>
        <w:rPr>
          <w:rFonts w:hint="eastAsia"/>
        </w:rPr>
        <w:t>姓名：__________</w:t>
      </w:r>
    </w:p>
    <w:p w14:paraId="27EF1A8E">
      <w:pPr>
        <w:pStyle w:val="59"/>
        <w:ind w:firstLine="420"/>
      </w:pPr>
      <w:r>
        <w:rPr>
          <w:rFonts w:hint="eastAsia"/>
        </w:rPr>
        <w:t>性别：__________</w:t>
      </w:r>
    </w:p>
    <w:p w14:paraId="1ADA8497">
      <w:pPr>
        <w:pStyle w:val="59"/>
        <w:ind w:firstLine="420"/>
      </w:pPr>
      <w:r>
        <w:rPr>
          <w:rFonts w:hint="eastAsia"/>
        </w:rPr>
        <w:t>身份证号：__________</w:t>
      </w:r>
    </w:p>
    <w:p w14:paraId="4C1D67E0">
      <w:pPr>
        <w:pStyle w:val="59"/>
        <w:ind w:firstLine="420"/>
      </w:pPr>
      <w:r>
        <w:rPr>
          <w:rFonts w:hint="eastAsia"/>
        </w:rPr>
        <w:t>所属单位/合作社：__________</w:t>
      </w:r>
    </w:p>
    <w:p w14:paraId="1F26E01B">
      <w:pPr>
        <w:pStyle w:val="59"/>
        <w:ind w:firstLine="420"/>
      </w:pPr>
      <w:r>
        <w:rPr>
          <w:rFonts w:hint="eastAsia"/>
        </w:rPr>
        <w:t>联系电话：__________</w:t>
      </w:r>
    </w:p>
    <w:p w14:paraId="31703C95">
      <w:pPr>
        <w:pStyle w:val="59"/>
        <w:ind w:firstLine="420"/>
      </w:pPr>
    </w:p>
    <w:p w14:paraId="39D0F2A0">
      <w:pPr>
        <w:pStyle w:val="59"/>
        <w:ind w:firstLine="420"/>
      </w:pPr>
      <w:r>
        <w:rPr>
          <w:rFonts w:hint="eastAsia"/>
        </w:rPr>
        <w:t>能力评定信息</w:t>
      </w:r>
    </w:p>
    <w:p w14:paraId="1FF8BD71">
      <w:pPr>
        <w:pStyle w:val="59"/>
        <w:ind w:firstLine="420"/>
      </w:pPr>
      <w:r>
        <w:rPr>
          <w:rFonts w:hint="eastAsia"/>
        </w:rPr>
        <w:t>评定项目：兴隆咖啡种植类人员（采摘）能力评定</w:t>
      </w:r>
    </w:p>
    <w:p w14:paraId="24885F4F">
      <w:pPr>
        <w:pStyle w:val="59"/>
        <w:ind w:firstLine="420"/>
      </w:pPr>
      <w:r>
        <w:rPr>
          <w:rFonts w:hint="eastAsia"/>
        </w:rPr>
        <w:t>评定等级：__________（优秀/良好/合格）</w:t>
      </w:r>
    </w:p>
    <w:p w14:paraId="1EBD2993">
      <w:pPr>
        <w:pStyle w:val="59"/>
        <w:ind w:firstLine="420"/>
      </w:pPr>
      <w:r>
        <w:rPr>
          <w:rFonts w:hint="eastAsia"/>
        </w:rPr>
        <w:t>评定日期：__________</w:t>
      </w:r>
    </w:p>
    <w:p w14:paraId="59F0B801">
      <w:pPr>
        <w:pStyle w:val="59"/>
        <w:ind w:firstLine="420"/>
      </w:pPr>
      <w:r>
        <w:rPr>
          <w:rFonts w:hint="eastAsia"/>
        </w:rPr>
        <w:t>有效期：__________（一般为2年或3年）</w:t>
      </w:r>
    </w:p>
    <w:p w14:paraId="02CFE2C5">
      <w:pPr>
        <w:pStyle w:val="59"/>
        <w:ind w:firstLine="420"/>
      </w:pPr>
    </w:p>
    <w:p w14:paraId="7C3B6253">
      <w:pPr>
        <w:pStyle w:val="59"/>
        <w:ind w:firstLine="420"/>
      </w:pPr>
      <w:r>
        <w:rPr>
          <w:rFonts w:hint="eastAsia"/>
        </w:rPr>
        <w:t>评定机构信息</w:t>
      </w:r>
    </w:p>
    <w:p w14:paraId="0D38044B">
      <w:pPr>
        <w:pStyle w:val="59"/>
        <w:ind w:firstLine="420"/>
      </w:pPr>
      <w:r>
        <w:rPr>
          <w:rFonts w:hint="eastAsia"/>
        </w:rPr>
        <w:t>评定机构名称：__________</w:t>
      </w:r>
    </w:p>
    <w:p w14:paraId="39095849">
      <w:pPr>
        <w:pStyle w:val="59"/>
        <w:ind w:firstLine="420"/>
      </w:pPr>
      <w:r>
        <w:rPr>
          <w:rFonts w:hint="eastAsia"/>
        </w:rPr>
        <w:t>评定机构盖章：__________</w:t>
      </w:r>
    </w:p>
    <w:p w14:paraId="368CB459">
      <w:pPr>
        <w:pStyle w:val="59"/>
        <w:ind w:firstLine="420"/>
      </w:pPr>
      <w:r>
        <w:rPr>
          <w:rFonts w:hint="eastAsia"/>
        </w:rPr>
        <w:t>评定负责人签字：__________</w:t>
      </w:r>
    </w:p>
    <w:p w14:paraId="4EEF8D47">
      <w:pPr>
        <w:pStyle w:val="59"/>
        <w:ind w:firstLine="420"/>
      </w:pPr>
    </w:p>
    <w:p w14:paraId="570BB98E">
      <w:pPr>
        <w:pStyle w:val="59"/>
        <w:ind w:firstLine="420"/>
      </w:pPr>
      <w:r>
        <w:rPr>
          <w:rFonts w:hint="eastAsia"/>
        </w:rPr>
        <w:t>证书说明</w:t>
      </w:r>
    </w:p>
    <w:p w14:paraId="77DA517A">
      <w:pPr>
        <w:pStyle w:val="59"/>
        <w:ind w:firstLine="420"/>
      </w:pPr>
      <w:r>
        <w:rPr>
          <w:rFonts w:hint="eastAsia"/>
        </w:rPr>
        <w:t>本证书是对持证人从事兴隆咖啡采摘工作的能力评定证明，具有行业认可性。证书有效期内，持证人应定期参加相关培训或复审，以保持能力水平。证书仅限持证人本人使用，不得转借或涂改，否则视为无效。证书遗失或损坏，可向评定机构申请补发。</w:t>
      </w:r>
    </w:p>
    <w:p w14:paraId="0D74ADCF">
      <w:pPr>
        <w:pStyle w:val="59"/>
        <w:ind w:firstLine="420"/>
      </w:pPr>
    </w:p>
    <w:p w14:paraId="503C94AC">
      <w:pPr>
        <w:pStyle w:val="59"/>
        <w:ind w:firstLine="420"/>
      </w:pPr>
      <w:r>
        <w:rPr>
          <w:rFonts w:hint="eastAsia"/>
        </w:rPr>
        <w:t>二维码/防伪标识</w:t>
      </w:r>
    </w:p>
    <w:p w14:paraId="3F206659">
      <w:pPr>
        <w:pStyle w:val="59"/>
        <w:ind w:firstLine="420"/>
      </w:pPr>
      <w:r>
        <w:rPr>
          <w:rFonts w:hint="eastAsia"/>
        </w:rPr>
        <w:t>（此处可添加二维码或防伪标识，用于验证证书真伪及查询持证人信息）</w:t>
      </w:r>
    </w:p>
    <w:p w14:paraId="59033255">
      <w:pPr>
        <w:pStyle w:val="59"/>
        <w:ind w:firstLine="420"/>
      </w:pPr>
    </w:p>
    <w:p w14:paraId="6AAEC416">
      <w:pPr>
        <w:pStyle w:val="59"/>
        <w:ind w:firstLine="420"/>
      </w:pPr>
      <w:r>
        <w:rPr>
          <w:rFonts w:hint="eastAsia"/>
        </w:rPr>
        <w:t>备注：本证书由兴隆咖啡师劳务品牌评定机构颁发，最终解释权归评定机构所有。</w:t>
      </w:r>
    </w:p>
    <w:p w14:paraId="4DA57EB2">
      <w:pPr>
        <w:pStyle w:val="59"/>
        <w:ind w:firstLine="420"/>
      </w:pPr>
    </w:p>
    <w:p w14:paraId="60FA526C">
      <w:pPr>
        <w:pStyle w:val="59"/>
        <w:ind w:firstLine="420"/>
      </w:pPr>
      <w:r>
        <w:rPr>
          <w:rFonts w:hint="eastAsia"/>
        </w:rPr>
        <w:t>证书样式设计说明：</w:t>
      </w:r>
    </w:p>
    <w:p w14:paraId="7E38D851">
      <w:pPr>
        <w:pStyle w:val="59"/>
        <w:ind w:firstLine="420"/>
      </w:pPr>
      <w:r>
        <w:rPr>
          <w:rFonts w:hint="eastAsia"/>
        </w:rPr>
        <w:t>证书尺寸：A4纸张大小（210mm×297mm），便于存档和携带。</w:t>
      </w:r>
    </w:p>
    <w:p w14:paraId="65CF8885">
      <w:pPr>
        <w:pStyle w:val="59"/>
        <w:ind w:firstLine="420"/>
      </w:pPr>
      <w:r>
        <w:rPr>
          <w:rFonts w:hint="eastAsia"/>
        </w:rPr>
        <w:t>证书材质：建议使用高质量纸张或防水防撕材质，提升证书的耐用性和正式感。</w:t>
      </w:r>
    </w:p>
    <w:p w14:paraId="65B54223">
      <w:pPr>
        <w:pStyle w:val="59"/>
        <w:ind w:firstLine="420"/>
      </w:pPr>
      <w:r>
        <w:rPr>
          <w:rFonts w:hint="eastAsia"/>
        </w:rPr>
        <w:t>颜色设计：</w:t>
      </w:r>
    </w:p>
    <w:p w14:paraId="75B72129">
      <w:pPr>
        <w:pStyle w:val="59"/>
        <w:ind w:firstLine="420"/>
      </w:pPr>
      <w:r>
        <w:rPr>
          <w:rFonts w:hint="eastAsia"/>
        </w:rPr>
        <w:t>主色调：以咖啡色为主，体现兴隆咖啡的品牌特色。</w:t>
      </w:r>
    </w:p>
    <w:p w14:paraId="0D802A0B">
      <w:pPr>
        <w:pStyle w:val="59"/>
        <w:ind w:firstLine="420"/>
      </w:pPr>
      <w:r>
        <w:rPr>
          <w:rFonts w:hint="eastAsia"/>
        </w:rPr>
        <w:t>辅助色：搭配金色或绿色，增加证书的庄重感和自然气息。</w:t>
      </w:r>
    </w:p>
    <w:p w14:paraId="08D99D20">
      <w:pPr>
        <w:pStyle w:val="59"/>
        <w:ind w:firstLine="420"/>
      </w:pPr>
      <w:r>
        <w:rPr>
          <w:rFonts w:hint="eastAsia"/>
        </w:rPr>
        <w:t>字体设计：</w:t>
      </w:r>
    </w:p>
    <w:p w14:paraId="1F6D7FC9">
      <w:pPr>
        <w:pStyle w:val="59"/>
        <w:ind w:firstLine="420"/>
      </w:pPr>
      <w:r>
        <w:rPr>
          <w:rFonts w:hint="eastAsia"/>
        </w:rPr>
        <w:t>标题字体：采用加粗、大号字体，突出证书名称。</w:t>
      </w:r>
    </w:p>
    <w:p w14:paraId="46CC0D79">
      <w:pPr>
        <w:pStyle w:val="59"/>
        <w:ind w:firstLine="420"/>
      </w:pPr>
      <w:r>
        <w:rPr>
          <w:rFonts w:hint="eastAsia"/>
        </w:rPr>
        <w:t>正文字体：采用清晰、易读的字体，确保信息一目了然。</w:t>
      </w:r>
    </w:p>
    <w:p w14:paraId="1D2DB16D">
      <w:pPr>
        <w:pStyle w:val="59"/>
        <w:ind w:firstLine="420"/>
      </w:pPr>
      <w:r>
        <w:rPr>
          <w:rFonts w:hint="eastAsia"/>
        </w:rPr>
        <w:t>防伪设计：</w:t>
      </w:r>
    </w:p>
    <w:p w14:paraId="7CFC6D99">
      <w:pPr>
        <w:pStyle w:val="59"/>
        <w:ind w:firstLine="420"/>
      </w:pPr>
      <w:r>
        <w:rPr>
          <w:rFonts w:hint="eastAsia"/>
        </w:rPr>
        <w:t>可在证书上添加二维码、水印或防伪标识，便于验证证书真伪。</w:t>
      </w:r>
    </w:p>
    <w:p w14:paraId="7B057FF6">
      <w:pPr>
        <w:pStyle w:val="59"/>
        <w:ind w:firstLine="0" w:firstLineChars="0"/>
        <w:sectPr>
          <w:pgSz w:w="11906" w:h="16838"/>
          <w:pgMar w:top="1928" w:right="1134" w:bottom="1134" w:left="1134" w:header="1418" w:footer="1134" w:gutter="284"/>
          <w:cols w:space="425" w:num="1"/>
          <w:formProt w:val="0"/>
          <w:docGrid w:linePitch="312" w:charSpace="0"/>
        </w:sectPr>
      </w:pPr>
    </w:p>
    <w:p w14:paraId="1D0B0A76">
      <w:pPr>
        <w:pStyle w:val="201"/>
        <w:rPr>
          <w:rFonts w:hint="eastAsia"/>
        </w:rPr>
      </w:pPr>
    </w:p>
    <w:p w14:paraId="4B9D21B7">
      <w:pPr>
        <w:pStyle w:val="202"/>
      </w:pPr>
    </w:p>
    <w:p w14:paraId="662342F1">
      <w:pPr>
        <w:pStyle w:val="79"/>
        <w:spacing w:after="120"/>
      </w:pPr>
      <w:r>
        <w:br w:type="textWrapping"/>
      </w:r>
      <w:bookmarkStart w:id="200" w:name="_Toc200655861"/>
      <w:bookmarkStart w:id="201" w:name="_Toc198559393"/>
      <w:r>
        <w:rPr>
          <w:rFonts w:hint="eastAsia"/>
        </w:rPr>
        <w:t>（资料性）</w:t>
      </w:r>
      <w:r>
        <w:br w:type="textWrapping"/>
      </w:r>
      <w:r>
        <w:rPr>
          <w:rFonts w:hint="eastAsia"/>
        </w:rPr>
        <w:t>兴隆咖啡师劳务品牌  种植类人员（采摘）能力评定评分标准</w:t>
      </w:r>
      <w:bookmarkEnd w:id="200"/>
      <w:bookmarkEnd w:id="201"/>
    </w:p>
    <w:p w14:paraId="71CC131B">
      <w:pPr>
        <w:pStyle w:val="59"/>
        <w:ind w:firstLine="630" w:firstLineChars="300"/>
      </w:pPr>
      <w:r>
        <w:rPr>
          <w:rFonts w:hint="eastAsia"/>
        </w:rPr>
        <w:t>兴隆咖啡师劳务品牌  种植类人员（采摘）能力评定评分标准见C.1。</w:t>
      </w:r>
    </w:p>
    <w:p w14:paraId="3D05E0CE">
      <w:pPr>
        <w:pStyle w:val="80"/>
        <w:spacing w:before="120" w:after="120"/>
      </w:pPr>
      <w:r>
        <w:rPr>
          <w:rFonts w:hint="eastAsia"/>
        </w:rPr>
        <w:t>兴隆咖啡师劳务品牌  种植类人员（采摘）能力评定评分标准</w:t>
      </w:r>
    </w:p>
    <w:tbl>
      <w:tblPr>
        <w:tblStyle w:val="29"/>
        <w:tblW w:w="846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15" w:type="dxa"/>
          <w:left w:w="15" w:type="dxa"/>
          <w:bottom w:w="15" w:type="dxa"/>
          <w:right w:w="15" w:type="dxa"/>
        </w:tblCellMar>
      </w:tblPr>
      <w:tblGrid>
        <w:gridCol w:w="1577"/>
        <w:gridCol w:w="1600"/>
        <w:gridCol w:w="5285"/>
      </w:tblGrid>
      <w:tr w14:paraId="36297A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577" w:type="dxa"/>
            <w:tcBorders>
              <w:top w:val="single" w:color="auto" w:sz="12" w:space="0"/>
              <w:left w:val="single" w:color="auto" w:sz="12" w:space="0"/>
              <w:bottom w:val="single" w:color="auto" w:sz="12" w:space="0"/>
              <w:right w:val="single" w:color="auto" w:sz="4" w:space="0"/>
            </w:tcBorders>
            <w:tcMar>
              <w:top w:w="15" w:type="dxa"/>
              <w:left w:w="0" w:type="dxa"/>
              <w:bottom w:w="15" w:type="dxa"/>
              <w:right w:w="15" w:type="dxa"/>
            </w:tcMar>
            <w:vAlign w:val="center"/>
          </w:tcPr>
          <w:p w14:paraId="258E0B31">
            <w:pPr>
              <w:pStyle w:val="59"/>
              <w:ind w:firstLine="0" w:firstLineChars="0"/>
              <w:jc w:val="center"/>
              <w:rPr>
                <w:rFonts w:hint="eastAsia" w:hAnsi="宋体"/>
                <w:bCs/>
                <w:sz w:val="18"/>
                <w:szCs w:val="18"/>
              </w:rPr>
            </w:pPr>
            <w:r>
              <w:rPr>
                <w:rFonts w:hint="eastAsia" w:hAnsi="宋体"/>
                <w:bCs/>
                <w:sz w:val="18"/>
                <w:szCs w:val="18"/>
              </w:rPr>
              <w:t>评分项目（1级）</w:t>
            </w:r>
          </w:p>
        </w:tc>
        <w:tc>
          <w:tcPr>
            <w:tcW w:w="1600" w:type="dxa"/>
            <w:tcBorders>
              <w:top w:val="single" w:color="auto" w:sz="12" w:space="0"/>
              <w:left w:val="single" w:color="auto" w:sz="4" w:space="0"/>
              <w:bottom w:val="single" w:color="auto" w:sz="12" w:space="0"/>
              <w:right w:val="single" w:color="auto" w:sz="4" w:space="0"/>
            </w:tcBorders>
            <w:vAlign w:val="center"/>
          </w:tcPr>
          <w:p w14:paraId="55500DCC">
            <w:pPr>
              <w:pStyle w:val="59"/>
              <w:ind w:firstLine="0" w:firstLineChars="0"/>
              <w:jc w:val="center"/>
              <w:rPr>
                <w:rFonts w:hint="eastAsia" w:hAnsi="宋体"/>
                <w:bCs/>
                <w:sz w:val="18"/>
                <w:szCs w:val="18"/>
              </w:rPr>
            </w:pPr>
            <w:r>
              <w:rPr>
                <w:rFonts w:hint="eastAsia" w:hAnsi="宋体"/>
                <w:bCs/>
                <w:sz w:val="18"/>
                <w:szCs w:val="18"/>
              </w:rPr>
              <w:t>评分项目（2级）</w:t>
            </w:r>
          </w:p>
        </w:tc>
        <w:tc>
          <w:tcPr>
            <w:tcW w:w="5285" w:type="dxa"/>
            <w:tcBorders>
              <w:top w:val="single" w:color="auto" w:sz="12" w:space="0"/>
              <w:left w:val="single" w:color="auto" w:sz="4" w:space="0"/>
              <w:bottom w:val="single" w:color="auto" w:sz="12" w:space="0"/>
              <w:right w:val="single" w:color="auto" w:sz="12" w:space="0"/>
            </w:tcBorders>
            <w:vAlign w:val="center"/>
          </w:tcPr>
          <w:p w14:paraId="7B2E3162">
            <w:pPr>
              <w:pStyle w:val="59"/>
              <w:ind w:firstLine="0" w:firstLineChars="0"/>
              <w:jc w:val="center"/>
              <w:rPr>
                <w:rFonts w:hint="eastAsia" w:hAnsi="宋体"/>
                <w:bCs/>
                <w:sz w:val="18"/>
                <w:szCs w:val="18"/>
              </w:rPr>
            </w:pPr>
            <w:r>
              <w:rPr>
                <w:rFonts w:hint="eastAsia" w:hAnsi="宋体"/>
                <w:bCs/>
                <w:sz w:val="18"/>
                <w:szCs w:val="18"/>
              </w:rPr>
              <w:t>评分标准</w:t>
            </w:r>
          </w:p>
        </w:tc>
      </w:tr>
      <w:tr w14:paraId="4968B3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577" w:type="dxa"/>
            <w:vMerge w:val="restart"/>
            <w:tcBorders>
              <w:top w:val="nil"/>
              <w:left w:val="single" w:color="auto" w:sz="12" w:space="0"/>
              <w:bottom w:val="single" w:color="auto" w:sz="4" w:space="0"/>
              <w:right w:val="single" w:color="auto" w:sz="4" w:space="0"/>
            </w:tcBorders>
            <w:tcMar>
              <w:top w:w="15" w:type="dxa"/>
              <w:left w:w="0" w:type="dxa"/>
              <w:bottom w:w="15" w:type="dxa"/>
              <w:right w:w="15" w:type="dxa"/>
            </w:tcMar>
            <w:vAlign w:val="center"/>
          </w:tcPr>
          <w:p w14:paraId="704CA084">
            <w:pPr>
              <w:pStyle w:val="59"/>
              <w:ind w:firstLine="360"/>
              <w:rPr>
                <w:rFonts w:hint="eastAsia" w:hAnsi="宋体"/>
                <w:bCs/>
                <w:sz w:val="18"/>
                <w:szCs w:val="18"/>
              </w:rPr>
            </w:pPr>
            <w:r>
              <w:rPr>
                <w:rFonts w:hint="eastAsia" w:hAnsi="宋体"/>
                <w:bCs/>
                <w:sz w:val="18"/>
                <w:szCs w:val="18"/>
              </w:rPr>
              <w:t>种植技能</w:t>
            </w:r>
          </w:p>
          <w:p w14:paraId="46B6CE01">
            <w:pPr>
              <w:pStyle w:val="59"/>
              <w:ind w:firstLine="360"/>
              <w:rPr>
                <w:rFonts w:hint="eastAsia" w:hAnsi="宋体"/>
                <w:sz w:val="18"/>
                <w:szCs w:val="18"/>
              </w:rPr>
            </w:pPr>
            <w:r>
              <w:rPr>
                <w:rFonts w:hint="eastAsia" w:hAnsi="宋体"/>
                <w:bCs/>
                <w:sz w:val="18"/>
                <w:szCs w:val="18"/>
              </w:rPr>
              <w:t>（25分）</w:t>
            </w:r>
          </w:p>
        </w:tc>
        <w:tc>
          <w:tcPr>
            <w:tcW w:w="1600" w:type="dxa"/>
            <w:tcBorders>
              <w:top w:val="single" w:color="auto" w:sz="12" w:space="0"/>
              <w:left w:val="single" w:color="auto" w:sz="4" w:space="0"/>
              <w:bottom w:val="single" w:color="auto" w:sz="4" w:space="0"/>
              <w:right w:val="single" w:color="auto" w:sz="4" w:space="0"/>
            </w:tcBorders>
            <w:vAlign w:val="center"/>
          </w:tcPr>
          <w:p w14:paraId="6E09E57C">
            <w:pPr>
              <w:pStyle w:val="59"/>
              <w:ind w:firstLine="360"/>
              <w:rPr>
                <w:rFonts w:hint="eastAsia" w:hAnsi="宋体"/>
                <w:bCs/>
                <w:sz w:val="18"/>
                <w:szCs w:val="18"/>
              </w:rPr>
            </w:pPr>
            <w:r>
              <w:rPr>
                <w:rFonts w:hint="eastAsia" w:hAnsi="宋体"/>
                <w:bCs/>
                <w:sz w:val="18"/>
                <w:szCs w:val="18"/>
              </w:rPr>
              <w:t>种植知识</w:t>
            </w:r>
          </w:p>
          <w:p w14:paraId="0CB5C02F">
            <w:pPr>
              <w:pStyle w:val="59"/>
              <w:ind w:firstLine="360"/>
              <w:rPr>
                <w:rFonts w:hint="eastAsia" w:hAnsi="宋体"/>
                <w:sz w:val="18"/>
                <w:szCs w:val="18"/>
              </w:rPr>
            </w:pPr>
            <w:r>
              <w:rPr>
                <w:rFonts w:hint="eastAsia" w:hAnsi="宋体"/>
                <w:bCs/>
                <w:sz w:val="18"/>
                <w:szCs w:val="18"/>
              </w:rPr>
              <w:t>（10分）</w:t>
            </w:r>
          </w:p>
        </w:tc>
        <w:tc>
          <w:tcPr>
            <w:tcW w:w="5285" w:type="dxa"/>
            <w:tcBorders>
              <w:top w:val="single" w:color="auto" w:sz="12" w:space="0"/>
              <w:left w:val="single" w:color="auto" w:sz="4" w:space="0"/>
              <w:bottom w:val="single" w:color="auto" w:sz="4" w:space="0"/>
              <w:right w:val="single" w:color="auto" w:sz="12" w:space="0"/>
            </w:tcBorders>
            <w:vAlign w:val="center"/>
          </w:tcPr>
          <w:p w14:paraId="339A818C">
            <w:pPr>
              <w:pStyle w:val="59"/>
              <w:ind w:firstLine="0" w:firstLineChars="0"/>
              <w:rPr>
                <w:rFonts w:hint="eastAsia" w:hAnsi="宋体"/>
                <w:sz w:val="18"/>
                <w:szCs w:val="18"/>
              </w:rPr>
            </w:pPr>
            <w:r>
              <w:rPr>
                <w:rFonts w:hint="eastAsia" w:hAnsi="宋体"/>
                <w:sz w:val="18"/>
                <w:szCs w:val="18"/>
              </w:rPr>
              <w:t>5分：种植知识薄弱，不了解基本种植要求。</w:t>
            </w:r>
            <w:r>
              <w:rPr>
                <w:rFonts w:hint="eastAsia" w:hAnsi="宋体"/>
                <w:sz w:val="18"/>
                <w:szCs w:val="18"/>
              </w:rPr>
              <w:br w:type="textWrapping"/>
            </w:r>
            <w:r>
              <w:rPr>
                <w:rFonts w:hint="eastAsia" w:hAnsi="宋体"/>
                <w:sz w:val="18"/>
                <w:szCs w:val="18"/>
              </w:rPr>
              <w:t>8分：种植知识一般，基本了解种植要求。</w:t>
            </w:r>
            <w:r>
              <w:rPr>
                <w:rFonts w:hint="eastAsia" w:hAnsi="宋体"/>
                <w:sz w:val="18"/>
                <w:szCs w:val="18"/>
              </w:rPr>
              <w:br w:type="textWrapping"/>
            </w:r>
            <w:r>
              <w:rPr>
                <w:rFonts w:hint="eastAsia" w:hAnsi="宋体"/>
                <w:sz w:val="18"/>
                <w:szCs w:val="18"/>
              </w:rPr>
              <w:t>10分：种植知识全面，熟练掌握种植技术。</w:t>
            </w:r>
          </w:p>
        </w:tc>
      </w:tr>
      <w:tr w14:paraId="133DDA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0" w:type="auto"/>
            <w:vMerge w:val="continue"/>
            <w:tcBorders>
              <w:top w:val="nil"/>
              <w:left w:val="single" w:color="auto" w:sz="12" w:space="0"/>
              <w:bottom w:val="single" w:color="auto" w:sz="4" w:space="0"/>
              <w:right w:val="single" w:color="auto" w:sz="4" w:space="0"/>
            </w:tcBorders>
            <w:vAlign w:val="center"/>
          </w:tcPr>
          <w:p w14:paraId="50C38E35">
            <w:pPr>
              <w:pStyle w:val="59"/>
              <w:ind w:firstLine="360"/>
              <w:rPr>
                <w:rFonts w:hint="eastAsia" w:hAnsi="宋体"/>
                <w:sz w:val="18"/>
                <w:szCs w:val="18"/>
              </w:rPr>
            </w:pPr>
          </w:p>
        </w:tc>
        <w:tc>
          <w:tcPr>
            <w:tcW w:w="1600" w:type="dxa"/>
            <w:tcBorders>
              <w:top w:val="single" w:color="auto" w:sz="4" w:space="0"/>
              <w:left w:val="single" w:color="auto" w:sz="4" w:space="0"/>
              <w:bottom w:val="single" w:color="auto" w:sz="4" w:space="0"/>
              <w:right w:val="single" w:color="auto" w:sz="4" w:space="0"/>
            </w:tcBorders>
            <w:vAlign w:val="center"/>
          </w:tcPr>
          <w:p w14:paraId="79336476">
            <w:pPr>
              <w:pStyle w:val="59"/>
              <w:ind w:firstLine="360"/>
              <w:rPr>
                <w:rFonts w:hint="eastAsia" w:hAnsi="宋体"/>
                <w:bCs/>
                <w:sz w:val="18"/>
                <w:szCs w:val="18"/>
              </w:rPr>
            </w:pPr>
            <w:r>
              <w:rPr>
                <w:rFonts w:hint="eastAsia" w:hAnsi="宋体"/>
                <w:bCs/>
                <w:sz w:val="18"/>
                <w:szCs w:val="18"/>
              </w:rPr>
              <w:t>种植操作</w:t>
            </w:r>
          </w:p>
          <w:p w14:paraId="43A20192">
            <w:pPr>
              <w:pStyle w:val="59"/>
              <w:ind w:firstLine="360"/>
              <w:rPr>
                <w:rFonts w:hint="eastAsia" w:hAnsi="宋体"/>
                <w:sz w:val="18"/>
                <w:szCs w:val="18"/>
              </w:rPr>
            </w:pPr>
            <w:r>
              <w:rPr>
                <w:rFonts w:hint="eastAsia" w:hAnsi="宋体"/>
                <w:bCs/>
                <w:sz w:val="18"/>
                <w:szCs w:val="18"/>
              </w:rPr>
              <w:t>（10分）</w:t>
            </w:r>
          </w:p>
        </w:tc>
        <w:tc>
          <w:tcPr>
            <w:tcW w:w="5285" w:type="dxa"/>
            <w:tcBorders>
              <w:top w:val="single" w:color="auto" w:sz="4" w:space="0"/>
              <w:left w:val="single" w:color="auto" w:sz="4" w:space="0"/>
              <w:bottom w:val="single" w:color="auto" w:sz="4" w:space="0"/>
              <w:right w:val="single" w:color="auto" w:sz="12" w:space="0"/>
            </w:tcBorders>
            <w:vAlign w:val="center"/>
          </w:tcPr>
          <w:p w14:paraId="39231DE0">
            <w:pPr>
              <w:pStyle w:val="59"/>
              <w:ind w:firstLine="0" w:firstLineChars="0"/>
              <w:rPr>
                <w:rFonts w:hint="eastAsia" w:hAnsi="宋体"/>
                <w:sz w:val="18"/>
                <w:szCs w:val="18"/>
              </w:rPr>
            </w:pPr>
            <w:r>
              <w:rPr>
                <w:rFonts w:hint="eastAsia" w:hAnsi="宋体"/>
                <w:sz w:val="18"/>
                <w:szCs w:val="18"/>
              </w:rPr>
              <w:t>5分：操作不规范，影响作物生长。</w:t>
            </w:r>
            <w:r>
              <w:rPr>
                <w:rFonts w:hint="eastAsia" w:hAnsi="宋体"/>
                <w:sz w:val="18"/>
                <w:szCs w:val="18"/>
              </w:rPr>
              <w:br w:type="textWrapping"/>
            </w:r>
            <w:r>
              <w:rPr>
                <w:rFonts w:hint="eastAsia" w:hAnsi="宋体"/>
                <w:sz w:val="18"/>
                <w:szCs w:val="18"/>
              </w:rPr>
              <w:t>8分：操作基本规范，作物生长正常。</w:t>
            </w:r>
            <w:r>
              <w:rPr>
                <w:rFonts w:hint="eastAsia" w:hAnsi="宋体"/>
                <w:sz w:val="18"/>
                <w:szCs w:val="18"/>
              </w:rPr>
              <w:br w:type="textWrapping"/>
            </w:r>
            <w:r>
              <w:rPr>
                <w:rFonts w:hint="eastAsia" w:hAnsi="宋体"/>
                <w:sz w:val="18"/>
                <w:szCs w:val="18"/>
              </w:rPr>
              <w:t>10分：操作规范，促进作物健康生长。</w:t>
            </w:r>
          </w:p>
        </w:tc>
      </w:tr>
      <w:tr w14:paraId="6E0839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0" w:type="auto"/>
            <w:vMerge w:val="continue"/>
            <w:tcBorders>
              <w:top w:val="nil"/>
              <w:left w:val="single" w:color="auto" w:sz="12" w:space="0"/>
              <w:bottom w:val="single" w:color="auto" w:sz="4" w:space="0"/>
              <w:right w:val="single" w:color="auto" w:sz="4" w:space="0"/>
            </w:tcBorders>
            <w:vAlign w:val="center"/>
          </w:tcPr>
          <w:p w14:paraId="46E380C9">
            <w:pPr>
              <w:pStyle w:val="59"/>
              <w:ind w:firstLine="360"/>
              <w:rPr>
                <w:rFonts w:hint="eastAsia" w:hAnsi="宋体"/>
                <w:sz w:val="18"/>
                <w:szCs w:val="18"/>
              </w:rPr>
            </w:pPr>
          </w:p>
        </w:tc>
        <w:tc>
          <w:tcPr>
            <w:tcW w:w="1600" w:type="dxa"/>
            <w:tcBorders>
              <w:top w:val="single" w:color="auto" w:sz="4" w:space="0"/>
              <w:left w:val="single" w:color="auto" w:sz="4" w:space="0"/>
              <w:bottom w:val="single" w:color="auto" w:sz="4" w:space="0"/>
              <w:right w:val="single" w:color="auto" w:sz="4" w:space="0"/>
            </w:tcBorders>
            <w:vAlign w:val="center"/>
          </w:tcPr>
          <w:p w14:paraId="20D08B38">
            <w:pPr>
              <w:pStyle w:val="59"/>
              <w:ind w:firstLine="360"/>
              <w:rPr>
                <w:rFonts w:hint="eastAsia" w:hAnsi="宋体"/>
                <w:bCs/>
                <w:sz w:val="18"/>
                <w:szCs w:val="18"/>
              </w:rPr>
            </w:pPr>
            <w:r>
              <w:rPr>
                <w:rFonts w:hint="eastAsia" w:hAnsi="宋体"/>
                <w:bCs/>
                <w:sz w:val="18"/>
                <w:szCs w:val="18"/>
              </w:rPr>
              <w:t>质量控制</w:t>
            </w:r>
          </w:p>
          <w:p w14:paraId="7B79A1E8">
            <w:pPr>
              <w:pStyle w:val="59"/>
              <w:ind w:firstLine="360"/>
              <w:rPr>
                <w:rFonts w:hint="eastAsia" w:hAnsi="宋体"/>
                <w:sz w:val="18"/>
                <w:szCs w:val="18"/>
              </w:rPr>
            </w:pPr>
            <w:r>
              <w:rPr>
                <w:rFonts w:hint="eastAsia" w:hAnsi="宋体"/>
                <w:bCs/>
                <w:sz w:val="18"/>
                <w:szCs w:val="18"/>
              </w:rPr>
              <w:t>（5分）</w:t>
            </w:r>
          </w:p>
        </w:tc>
        <w:tc>
          <w:tcPr>
            <w:tcW w:w="5285" w:type="dxa"/>
            <w:tcBorders>
              <w:top w:val="single" w:color="auto" w:sz="4" w:space="0"/>
              <w:left w:val="single" w:color="auto" w:sz="4" w:space="0"/>
              <w:bottom w:val="single" w:color="auto" w:sz="4" w:space="0"/>
              <w:right w:val="single" w:color="auto" w:sz="12" w:space="0"/>
            </w:tcBorders>
            <w:vAlign w:val="center"/>
          </w:tcPr>
          <w:p w14:paraId="044534D3">
            <w:pPr>
              <w:pStyle w:val="59"/>
              <w:ind w:firstLine="0" w:firstLineChars="0"/>
              <w:rPr>
                <w:rFonts w:hint="eastAsia" w:hAnsi="宋体"/>
                <w:sz w:val="18"/>
                <w:szCs w:val="18"/>
              </w:rPr>
            </w:pPr>
            <w:r>
              <w:rPr>
                <w:rFonts w:hint="eastAsia" w:hAnsi="宋体"/>
                <w:sz w:val="18"/>
                <w:szCs w:val="18"/>
              </w:rPr>
              <w:t>3分：质量控制意识差，常出现管理失误。</w:t>
            </w:r>
            <w:r>
              <w:rPr>
                <w:rFonts w:hint="eastAsia" w:hAnsi="宋体"/>
                <w:sz w:val="18"/>
                <w:szCs w:val="18"/>
              </w:rPr>
              <w:br w:type="textWrapping"/>
            </w:r>
            <w:r>
              <w:rPr>
                <w:rFonts w:hint="eastAsia" w:hAnsi="宋体"/>
                <w:sz w:val="18"/>
                <w:szCs w:val="18"/>
              </w:rPr>
              <w:t>4分：质量控制意识一般，基本符合要求。</w:t>
            </w:r>
            <w:r>
              <w:rPr>
                <w:rFonts w:hint="eastAsia" w:hAnsi="宋体"/>
                <w:sz w:val="18"/>
                <w:szCs w:val="18"/>
              </w:rPr>
              <w:br w:type="textWrapping"/>
            </w:r>
            <w:r>
              <w:rPr>
                <w:rFonts w:hint="eastAsia" w:hAnsi="宋体"/>
                <w:sz w:val="18"/>
                <w:szCs w:val="18"/>
              </w:rPr>
              <w:t>5分：质量控制严格，管理到位。</w:t>
            </w:r>
          </w:p>
        </w:tc>
      </w:tr>
      <w:tr w14:paraId="7F72A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577" w:type="dxa"/>
            <w:vMerge w:val="restart"/>
            <w:tcBorders>
              <w:top w:val="single" w:color="auto" w:sz="4" w:space="0"/>
              <w:left w:val="single" w:color="auto" w:sz="12" w:space="0"/>
              <w:bottom w:val="single" w:color="auto" w:sz="4" w:space="0"/>
              <w:right w:val="single" w:color="auto" w:sz="4" w:space="0"/>
            </w:tcBorders>
            <w:tcMar>
              <w:top w:w="15" w:type="dxa"/>
              <w:left w:w="0" w:type="dxa"/>
              <w:bottom w:w="15" w:type="dxa"/>
              <w:right w:w="15" w:type="dxa"/>
            </w:tcMar>
            <w:vAlign w:val="center"/>
          </w:tcPr>
          <w:p w14:paraId="4C9B5B74">
            <w:pPr>
              <w:pStyle w:val="59"/>
              <w:ind w:firstLine="360"/>
              <w:rPr>
                <w:rFonts w:hint="eastAsia" w:hAnsi="宋体"/>
                <w:bCs/>
                <w:sz w:val="18"/>
                <w:szCs w:val="18"/>
              </w:rPr>
            </w:pPr>
            <w:r>
              <w:rPr>
                <w:rFonts w:hint="eastAsia" w:hAnsi="宋体"/>
                <w:bCs/>
                <w:sz w:val="18"/>
                <w:szCs w:val="18"/>
              </w:rPr>
              <w:t>采摘技能</w:t>
            </w:r>
          </w:p>
          <w:p w14:paraId="7F1044AF">
            <w:pPr>
              <w:pStyle w:val="59"/>
              <w:ind w:firstLine="360"/>
              <w:rPr>
                <w:rFonts w:hint="eastAsia" w:hAnsi="宋体"/>
                <w:sz w:val="18"/>
                <w:szCs w:val="18"/>
              </w:rPr>
            </w:pPr>
            <w:r>
              <w:rPr>
                <w:rFonts w:hint="eastAsia" w:hAnsi="宋体"/>
                <w:bCs/>
                <w:sz w:val="18"/>
                <w:szCs w:val="18"/>
              </w:rPr>
              <w:t>（25分）</w:t>
            </w:r>
          </w:p>
        </w:tc>
        <w:tc>
          <w:tcPr>
            <w:tcW w:w="1600" w:type="dxa"/>
            <w:tcBorders>
              <w:top w:val="single" w:color="auto" w:sz="4" w:space="0"/>
              <w:left w:val="single" w:color="auto" w:sz="4" w:space="0"/>
              <w:bottom w:val="single" w:color="auto" w:sz="4" w:space="0"/>
              <w:right w:val="single" w:color="auto" w:sz="4" w:space="0"/>
            </w:tcBorders>
            <w:vAlign w:val="center"/>
          </w:tcPr>
          <w:p w14:paraId="2E27DBB8">
            <w:pPr>
              <w:pStyle w:val="59"/>
              <w:ind w:firstLine="360"/>
              <w:rPr>
                <w:rFonts w:hint="eastAsia" w:hAnsi="宋体"/>
                <w:bCs/>
                <w:sz w:val="18"/>
                <w:szCs w:val="18"/>
              </w:rPr>
            </w:pPr>
            <w:r>
              <w:rPr>
                <w:rFonts w:hint="eastAsia" w:hAnsi="宋体"/>
                <w:bCs/>
                <w:sz w:val="18"/>
                <w:szCs w:val="18"/>
              </w:rPr>
              <w:t>采摘速度</w:t>
            </w:r>
          </w:p>
          <w:p w14:paraId="4A24FC48">
            <w:pPr>
              <w:pStyle w:val="59"/>
              <w:ind w:firstLine="360"/>
              <w:rPr>
                <w:rFonts w:hint="eastAsia" w:hAnsi="宋体"/>
                <w:sz w:val="18"/>
                <w:szCs w:val="18"/>
              </w:rPr>
            </w:pPr>
            <w:r>
              <w:rPr>
                <w:rFonts w:hint="eastAsia" w:hAnsi="宋体"/>
                <w:bCs/>
                <w:sz w:val="18"/>
                <w:szCs w:val="18"/>
              </w:rPr>
              <w:t>（10分）</w:t>
            </w:r>
          </w:p>
        </w:tc>
        <w:tc>
          <w:tcPr>
            <w:tcW w:w="5285" w:type="dxa"/>
            <w:tcBorders>
              <w:top w:val="single" w:color="auto" w:sz="4" w:space="0"/>
              <w:left w:val="single" w:color="auto" w:sz="4" w:space="0"/>
              <w:bottom w:val="single" w:color="auto" w:sz="4" w:space="0"/>
              <w:right w:val="single" w:color="auto" w:sz="12" w:space="0"/>
            </w:tcBorders>
            <w:vAlign w:val="center"/>
          </w:tcPr>
          <w:p w14:paraId="07EF3937">
            <w:pPr>
              <w:pStyle w:val="59"/>
              <w:ind w:firstLine="0" w:firstLineChars="0"/>
              <w:rPr>
                <w:rFonts w:hint="eastAsia" w:hAnsi="宋体"/>
                <w:sz w:val="18"/>
                <w:szCs w:val="18"/>
              </w:rPr>
            </w:pPr>
            <w:r>
              <w:rPr>
                <w:rFonts w:hint="eastAsia" w:hAnsi="宋体"/>
                <w:sz w:val="18"/>
                <w:szCs w:val="18"/>
              </w:rPr>
              <w:t>5分：采摘速度较慢，未达到基本要求。</w:t>
            </w:r>
            <w:r>
              <w:rPr>
                <w:rFonts w:hint="eastAsia" w:hAnsi="宋体"/>
                <w:sz w:val="18"/>
                <w:szCs w:val="18"/>
              </w:rPr>
              <w:br w:type="textWrapping"/>
            </w:r>
            <w:r>
              <w:rPr>
                <w:rFonts w:hint="eastAsia" w:hAnsi="宋体"/>
                <w:sz w:val="18"/>
                <w:szCs w:val="18"/>
              </w:rPr>
              <w:t>8分：采摘速度一般，基本符合要求。</w:t>
            </w:r>
            <w:r>
              <w:rPr>
                <w:rFonts w:hint="eastAsia" w:hAnsi="宋体"/>
                <w:sz w:val="18"/>
                <w:szCs w:val="18"/>
              </w:rPr>
              <w:br w:type="textWrapping"/>
            </w:r>
            <w:r>
              <w:rPr>
                <w:rFonts w:hint="eastAsia" w:hAnsi="宋体"/>
                <w:sz w:val="18"/>
                <w:szCs w:val="18"/>
              </w:rPr>
              <w:t>10分：采摘速度快，超出基本要求。</w:t>
            </w:r>
          </w:p>
        </w:tc>
      </w:tr>
      <w:tr w14:paraId="7DEA84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6D265FA3">
            <w:pPr>
              <w:pStyle w:val="59"/>
              <w:ind w:firstLine="360"/>
              <w:rPr>
                <w:rFonts w:hint="eastAsia" w:hAnsi="宋体"/>
                <w:sz w:val="18"/>
                <w:szCs w:val="18"/>
              </w:rPr>
            </w:pPr>
          </w:p>
        </w:tc>
        <w:tc>
          <w:tcPr>
            <w:tcW w:w="1600" w:type="dxa"/>
            <w:tcBorders>
              <w:top w:val="single" w:color="auto" w:sz="4" w:space="0"/>
              <w:left w:val="single" w:color="auto" w:sz="4" w:space="0"/>
              <w:bottom w:val="single" w:color="auto" w:sz="4" w:space="0"/>
              <w:right w:val="single" w:color="auto" w:sz="4" w:space="0"/>
            </w:tcBorders>
            <w:vAlign w:val="center"/>
          </w:tcPr>
          <w:p w14:paraId="742FEC85">
            <w:pPr>
              <w:pStyle w:val="59"/>
              <w:ind w:firstLine="360"/>
              <w:rPr>
                <w:rFonts w:hint="eastAsia" w:hAnsi="宋体"/>
                <w:bCs/>
                <w:sz w:val="18"/>
                <w:szCs w:val="18"/>
              </w:rPr>
            </w:pPr>
            <w:r>
              <w:rPr>
                <w:rFonts w:hint="eastAsia" w:hAnsi="宋体"/>
                <w:bCs/>
                <w:sz w:val="18"/>
                <w:szCs w:val="18"/>
              </w:rPr>
              <w:t>采摘质量</w:t>
            </w:r>
          </w:p>
          <w:p w14:paraId="6D919157">
            <w:pPr>
              <w:pStyle w:val="59"/>
              <w:ind w:firstLine="360"/>
              <w:rPr>
                <w:rFonts w:hint="eastAsia" w:hAnsi="宋体"/>
                <w:sz w:val="18"/>
                <w:szCs w:val="18"/>
              </w:rPr>
            </w:pPr>
            <w:r>
              <w:rPr>
                <w:rFonts w:hint="eastAsia" w:hAnsi="宋体"/>
                <w:bCs/>
                <w:sz w:val="18"/>
                <w:szCs w:val="18"/>
              </w:rPr>
              <w:t>（10分）</w:t>
            </w:r>
          </w:p>
        </w:tc>
        <w:tc>
          <w:tcPr>
            <w:tcW w:w="5285" w:type="dxa"/>
            <w:tcBorders>
              <w:top w:val="single" w:color="auto" w:sz="4" w:space="0"/>
              <w:left w:val="single" w:color="auto" w:sz="4" w:space="0"/>
              <w:bottom w:val="single" w:color="auto" w:sz="4" w:space="0"/>
              <w:right w:val="single" w:color="auto" w:sz="12" w:space="0"/>
            </w:tcBorders>
            <w:vAlign w:val="center"/>
          </w:tcPr>
          <w:p w14:paraId="0481AD85">
            <w:pPr>
              <w:pStyle w:val="59"/>
              <w:ind w:firstLine="0" w:firstLineChars="0"/>
              <w:rPr>
                <w:rFonts w:hint="eastAsia" w:hAnsi="宋体"/>
                <w:sz w:val="18"/>
                <w:szCs w:val="18"/>
              </w:rPr>
            </w:pPr>
            <w:r>
              <w:rPr>
                <w:rFonts w:hint="eastAsia" w:hAnsi="宋体"/>
                <w:sz w:val="18"/>
                <w:szCs w:val="18"/>
              </w:rPr>
              <w:t>5分：采摘质量较差，果实损伤率高。</w:t>
            </w:r>
            <w:r>
              <w:rPr>
                <w:rFonts w:hint="eastAsia" w:hAnsi="宋体"/>
                <w:sz w:val="18"/>
                <w:szCs w:val="18"/>
              </w:rPr>
              <w:br w:type="textWrapping"/>
            </w:r>
            <w:r>
              <w:rPr>
                <w:rFonts w:hint="eastAsia" w:hAnsi="宋体"/>
                <w:sz w:val="18"/>
                <w:szCs w:val="18"/>
              </w:rPr>
              <w:t>8分：采摘质量一般，果实损伤率较低。</w:t>
            </w:r>
            <w:r>
              <w:rPr>
                <w:rFonts w:hint="eastAsia" w:hAnsi="宋体"/>
                <w:sz w:val="18"/>
                <w:szCs w:val="18"/>
              </w:rPr>
              <w:br w:type="textWrapping"/>
            </w:r>
            <w:r>
              <w:rPr>
                <w:rFonts w:hint="eastAsia" w:hAnsi="宋体"/>
                <w:sz w:val="18"/>
                <w:szCs w:val="18"/>
              </w:rPr>
              <w:t>10分：采摘质量高，果实损伤率极低。</w:t>
            </w:r>
          </w:p>
        </w:tc>
      </w:tr>
      <w:tr w14:paraId="1F88A2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28FC7DD5">
            <w:pPr>
              <w:pStyle w:val="59"/>
              <w:ind w:firstLine="360"/>
              <w:rPr>
                <w:rFonts w:hint="eastAsia" w:hAnsi="宋体"/>
                <w:sz w:val="18"/>
                <w:szCs w:val="18"/>
              </w:rPr>
            </w:pPr>
          </w:p>
        </w:tc>
        <w:tc>
          <w:tcPr>
            <w:tcW w:w="1600" w:type="dxa"/>
            <w:tcBorders>
              <w:top w:val="single" w:color="auto" w:sz="4" w:space="0"/>
              <w:left w:val="single" w:color="auto" w:sz="4" w:space="0"/>
              <w:bottom w:val="single" w:color="auto" w:sz="4" w:space="0"/>
              <w:right w:val="single" w:color="auto" w:sz="4" w:space="0"/>
            </w:tcBorders>
            <w:vAlign w:val="center"/>
          </w:tcPr>
          <w:p w14:paraId="7974168A">
            <w:pPr>
              <w:pStyle w:val="59"/>
              <w:ind w:firstLine="360"/>
              <w:rPr>
                <w:rFonts w:hint="eastAsia" w:hAnsi="宋体"/>
                <w:bCs/>
                <w:sz w:val="18"/>
                <w:szCs w:val="18"/>
              </w:rPr>
            </w:pPr>
            <w:r>
              <w:rPr>
                <w:rFonts w:hint="eastAsia" w:hAnsi="宋体"/>
                <w:bCs/>
                <w:sz w:val="18"/>
                <w:szCs w:val="18"/>
              </w:rPr>
              <w:t>采摘技巧</w:t>
            </w:r>
          </w:p>
          <w:p w14:paraId="759194E1">
            <w:pPr>
              <w:pStyle w:val="59"/>
              <w:ind w:firstLine="360"/>
              <w:rPr>
                <w:rFonts w:hint="eastAsia" w:hAnsi="宋体"/>
                <w:sz w:val="18"/>
                <w:szCs w:val="18"/>
              </w:rPr>
            </w:pPr>
            <w:r>
              <w:rPr>
                <w:rFonts w:hint="eastAsia" w:hAnsi="宋体"/>
                <w:bCs/>
                <w:sz w:val="18"/>
                <w:szCs w:val="18"/>
              </w:rPr>
              <w:t>（5分）</w:t>
            </w:r>
          </w:p>
        </w:tc>
        <w:tc>
          <w:tcPr>
            <w:tcW w:w="5285" w:type="dxa"/>
            <w:tcBorders>
              <w:top w:val="single" w:color="auto" w:sz="4" w:space="0"/>
              <w:left w:val="single" w:color="auto" w:sz="4" w:space="0"/>
              <w:bottom w:val="single" w:color="auto" w:sz="4" w:space="0"/>
              <w:right w:val="single" w:color="auto" w:sz="12" w:space="0"/>
            </w:tcBorders>
            <w:vAlign w:val="center"/>
          </w:tcPr>
          <w:p w14:paraId="6D09798A">
            <w:pPr>
              <w:pStyle w:val="59"/>
              <w:ind w:firstLine="0" w:firstLineChars="0"/>
              <w:rPr>
                <w:rFonts w:hint="eastAsia" w:hAnsi="宋体"/>
                <w:sz w:val="18"/>
                <w:szCs w:val="18"/>
              </w:rPr>
            </w:pPr>
            <w:r>
              <w:rPr>
                <w:rFonts w:hint="eastAsia" w:hAnsi="宋体"/>
                <w:sz w:val="18"/>
                <w:szCs w:val="18"/>
              </w:rPr>
              <w:t>3分：采摘技巧不熟练，操作不规范。</w:t>
            </w:r>
            <w:r>
              <w:rPr>
                <w:rFonts w:hint="eastAsia" w:hAnsi="宋体"/>
                <w:sz w:val="18"/>
                <w:szCs w:val="18"/>
              </w:rPr>
              <w:br w:type="textWrapping"/>
            </w:r>
            <w:r>
              <w:rPr>
                <w:rFonts w:hint="eastAsia" w:hAnsi="宋体"/>
                <w:sz w:val="18"/>
                <w:szCs w:val="18"/>
              </w:rPr>
              <w:t>4分：采摘技巧较为熟练，操作基本规范。</w:t>
            </w:r>
            <w:r>
              <w:rPr>
                <w:rFonts w:hint="eastAsia" w:hAnsi="宋体"/>
                <w:sz w:val="18"/>
                <w:szCs w:val="18"/>
              </w:rPr>
              <w:br w:type="textWrapping"/>
            </w:r>
            <w:r>
              <w:rPr>
                <w:rFonts w:hint="eastAsia" w:hAnsi="宋体"/>
                <w:sz w:val="18"/>
                <w:szCs w:val="18"/>
              </w:rPr>
              <w:t>5分：采摘技巧熟练，操作规范。</w:t>
            </w:r>
          </w:p>
        </w:tc>
      </w:tr>
      <w:tr w14:paraId="2BFC1C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577" w:type="dxa"/>
            <w:vMerge w:val="restart"/>
            <w:tcBorders>
              <w:top w:val="single" w:color="auto" w:sz="4" w:space="0"/>
              <w:left w:val="single" w:color="auto" w:sz="12" w:space="0"/>
              <w:bottom w:val="single" w:color="auto" w:sz="4" w:space="0"/>
              <w:right w:val="single" w:color="auto" w:sz="4" w:space="0"/>
            </w:tcBorders>
            <w:tcMar>
              <w:top w:w="15" w:type="dxa"/>
              <w:left w:w="0" w:type="dxa"/>
              <w:bottom w:w="15" w:type="dxa"/>
              <w:right w:w="15" w:type="dxa"/>
            </w:tcMar>
            <w:vAlign w:val="center"/>
          </w:tcPr>
          <w:p w14:paraId="57CC6D8A">
            <w:pPr>
              <w:pStyle w:val="59"/>
              <w:ind w:firstLine="360"/>
              <w:rPr>
                <w:rFonts w:hint="eastAsia" w:hAnsi="宋体"/>
                <w:bCs/>
                <w:sz w:val="18"/>
                <w:szCs w:val="18"/>
              </w:rPr>
            </w:pPr>
            <w:r>
              <w:rPr>
                <w:rFonts w:hint="eastAsia" w:hAnsi="宋体"/>
                <w:bCs/>
                <w:sz w:val="18"/>
                <w:szCs w:val="18"/>
              </w:rPr>
              <w:t>安全意识</w:t>
            </w:r>
          </w:p>
          <w:p w14:paraId="58933294">
            <w:pPr>
              <w:pStyle w:val="59"/>
              <w:ind w:firstLine="360"/>
              <w:rPr>
                <w:rFonts w:hint="eastAsia" w:hAnsi="宋体"/>
                <w:sz w:val="18"/>
                <w:szCs w:val="18"/>
              </w:rPr>
            </w:pPr>
            <w:r>
              <w:rPr>
                <w:rFonts w:hint="eastAsia" w:hAnsi="宋体"/>
                <w:bCs/>
                <w:sz w:val="18"/>
                <w:szCs w:val="18"/>
              </w:rPr>
              <w:t>（20分）</w:t>
            </w:r>
          </w:p>
        </w:tc>
        <w:tc>
          <w:tcPr>
            <w:tcW w:w="1600" w:type="dxa"/>
            <w:tcBorders>
              <w:top w:val="single" w:color="auto" w:sz="4" w:space="0"/>
              <w:left w:val="single" w:color="auto" w:sz="4" w:space="0"/>
              <w:bottom w:val="single" w:color="auto" w:sz="4" w:space="0"/>
              <w:right w:val="single" w:color="auto" w:sz="4" w:space="0"/>
            </w:tcBorders>
            <w:vAlign w:val="center"/>
          </w:tcPr>
          <w:p w14:paraId="220843BD">
            <w:pPr>
              <w:pStyle w:val="59"/>
              <w:ind w:firstLine="360"/>
              <w:rPr>
                <w:rFonts w:hint="eastAsia" w:hAnsi="宋体"/>
                <w:bCs/>
                <w:sz w:val="18"/>
                <w:szCs w:val="18"/>
              </w:rPr>
            </w:pPr>
            <w:r>
              <w:rPr>
                <w:rFonts w:hint="eastAsia" w:hAnsi="宋体"/>
                <w:bCs/>
                <w:sz w:val="18"/>
                <w:szCs w:val="18"/>
              </w:rPr>
              <w:t>安全操作</w:t>
            </w:r>
          </w:p>
          <w:p w14:paraId="321B79AF">
            <w:pPr>
              <w:pStyle w:val="59"/>
              <w:ind w:firstLine="360"/>
              <w:rPr>
                <w:rFonts w:hint="eastAsia" w:hAnsi="宋体"/>
                <w:sz w:val="18"/>
                <w:szCs w:val="18"/>
              </w:rPr>
            </w:pPr>
            <w:r>
              <w:rPr>
                <w:rFonts w:hint="eastAsia" w:hAnsi="宋体"/>
                <w:bCs/>
                <w:sz w:val="18"/>
                <w:szCs w:val="18"/>
              </w:rPr>
              <w:t>（10分）</w:t>
            </w:r>
          </w:p>
        </w:tc>
        <w:tc>
          <w:tcPr>
            <w:tcW w:w="5285" w:type="dxa"/>
            <w:tcBorders>
              <w:top w:val="single" w:color="auto" w:sz="4" w:space="0"/>
              <w:left w:val="single" w:color="auto" w:sz="4" w:space="0"/>
              <w:bottom w:val="single" w:color="auto" w:sz="4" w:space="0"/>
              <w:right w:val="single" w:color="auto" w:sz="12" w:space="0"/>
            </w:tcBorders>
            <w:vAlign w:val="center"/>
          </w:tcPr>
          <w:p w14:paraId="6318081D">
            <w:pPr>
              <w:pStyle w:val="59"/>
              <w:ind w:firstLine="0" w:firstLineChars="0"/>
              <w:rPr>
                <w:rFonts w:hint="eastAsia" w:hAnsi="宋体"/>
                <w:sz w:val="18"/>
                <w:szCs w:val="18"/>
              </w:rPr>
            </w:pPr>
            <w:r>
              <w:rPr>
                <w:rFonts w:hint="eastAsia" w:hAnsi="宋体"/>
                <w:sz w:val="18"/>
                <w:szCs w:val="18"/>
              </w:rPr>
              <w:t>5分：安全操作意识薄弱，存在安全隐患。</w:t>
            </w:r>
            <w:r>
              <w:rPr>
                <w:rFonts w:hint="eastAsia" w:hAnsi="宋体"/>
                <w:sz w:val="18"/>
                <w:szCs w:val="18"/>
              </w:rPr>
              <w:br w:type="textWrapping"/>
            </w:r>
            <w:r>
              <w:rPr>
                <w:rFonts w:hint="eastAsia" w:hAnsi="宋体"/>
                <w:sz w:val="18"/>
                <w:szCs w:val="18"/>
              </w:rPr>
              <w:t>8分：安全操作意识一般，基本符合安全要求。</w:t>
            </w:r>
            <w:r>
              <w:rPr>
                <w:rFonts w:hint="eastAsia" w:hAnsi="宋体"/>
                <w:sz w:val="18"/>
                <w:szCs w:val="18"/>
              </w:rPr>
              <w:br w:type="textWrapping"/>
            </w:r>
            <w:r>
              <w:rPr>
                <w:rFonts w:hint="eastAsia" w:hAnsi="宋体"/>
                <w:sz w:val="18"/>
                <w:szCs w:val="18"/>
              </w:rPr>
              <w:t>10分：安全操作意识强，严格遵守安全规范。</w:t>
            </w:r>
          </w:p>
        </w:tc>
      </w:tr>
      <w:tr w14:paraId="4E3372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01E5C28B">
            <w:pPr>
              <w:pStyle w:val="59"/>
              <w:ind w:firstLine="360"/>
              <w:rPr>
                <w:rFonts w:hint="eastAsia" w:hAnsi="宋体"/>
                <w:sz w:val="18"/>
                <w:szCs w:val="18"/>
              </w:rPr>
            </w:pPr>
          </w:p>
        </w:tc>
        <w:tc>
          <w:tcPr>
            <w:tcW w:w="1600" w:type="dxa"/>
            <w:tcBorders>
              <w:top w:val="single" w:color="auto" w:sz="4" w:space="0"/>
              <w:left w:val="single" w:color="auto" w:sz="4" w:space="0"/>
              <w:bottom w:val="single" w:color="auto" w:sz="4" w:space="0"/>
              <w:right w:val="single" w:color="auto" w:sz="4" w:space="0"/>
            </w:tcBorders>
            <w:vAlign w:val="center"/>
          </w:tcPr>
          <w:p w14:paraId="6664F4DB">
            <w:pPr>
              <w:pStyle w:val="59"/>
              <w:ind w:firstLine="360"/>
              <w:rPr>
                <w:rFonts w:hint="eastAsia" w:hAnsi="宋体"/>
                <w:bCs/>
                <w:sz w:val="18"/>
                <w:szCs w:val="18"/>
              </w:rPr>
            </w:pPr>
            <w:r>
              <w:rPr>
                <w:rFonts w:hint="eastAsia" w:hAnsi="宋体"/>
                <w:bCs/>
                <w:sz w:val="18"/>
                <w:szCs w:val="18"/>
              </w:rPr>
              <w:t>应急处理</w:t>
            </w:r>
          </w:p>
          <w:p w14:paraId="4A1275C3">
            <w:pPr>
              <w:pStyle w:val="59"/>
              <w:ind w:firstLine="360"/>
              <w:rPr>
                <w:rFonts w:hint="eastAsia" w:hAnsi="宋体"/>
                <w:sz w:val="18"/>
                <w:szCs w:val="18"/>
              </w:rPr>
            </w:pPr>
            <w:r>
              <w:rPr>
                <w:rFonts w:hint="eastAsia" w:hAnsi="宋体"/>
                <w:bCs/>
                <w:sz w:val="18"/>
                <w:szCs w:val="18"/>
              </w:rPr>
              <w:t>（10分）</w:t>
            </w:r>
          </w:p>
        </w:tc>
        <w:tc>
          <w:tcPr>
            <w:tcW w:w="5285" w:type="dxa"/>
            <w:tcBorders>
              <w:top w:val="single" w:color="auto" w:sz="4" w:space="0"/>
              <w:left w:val="single" w:color="auto" w:sz="4" w:space="0"/>
              <w:bottom w:val="single" w:color="auto" w:sz="4" w:space="0"/>
              <w:right w:val="single" w:color="auto" w:sz="12" w:space="0"/>
            </w:tcBorders>
            <w:vAlign w:val="center"/>
          </w:tcPr>
          <w:p w14:paraId="413CA284">
            <w:pPr>
              <w:pStyle w:val="59"/>
              <w:ind w:firstLine="0" w:firstLineChars="0"/>
              <w:rPr>
                <w:rFonts w:hint="eastAsia" w:hAnsi="宋体"/>
                <w:sz w:val="18"/>
                <w:szCs w:val="18"/>
              </w:rPr>
            </w:pPr>
            <w:r>
              <w:rPr>
                <w:rFonts w:hint="eastAsia" w:hAnsi="宋体"/>
                <w:sz w:val="18"/>
                <w:szCs w:val="18"/>
              </w:rPr>
              <w:t>5分：应急处理能力差，无法有效应对突发情况。</w:t>
            </w:r>
            <w:r>
              <w:rPr>
                <w:rFonts w:hint="eastAsia" w:hAnsi="宋体"/>
                <w:sz w:val="18"/>
                <w:szCs w:val="18"/>
              </w:rPr>
              <w:br w:type="textWrapping"/>
            </w:r>
            <w:r>
              <w:rPr>
                <w:rFonts w:hint="eastAsia" w:hAnsi="宋体"/>
                <w:sz w:val="18"/>
                <w:szCs w:val="18"/>
              </w:rPr>
              <w:t>8分：应急处理能力一般，能基本应对突发情况。</w:t>
            </w:r>
            <w:r>
              <w:rPr>
                <w:rFonts w:hint="eastAsia" w:hAnsi="宋体"/>
                <w:sz w:val="18"/>
                <w:szCs w:val="18"/>
              </w:rPr>
              <w:br w:type="textWrapping"/>
            </w:r>
            <w:r>
              <w:rPr>
                <w:rFonts w:hint="eastAsia" w:hAnsi="宋体"/>
                <w:sz w:val="18"/>
                <w:szCs w:val="18"/>
              </w:rPr>
              <w:t>10分：应急处理能力强，能迅速有效应对突发情况。</w:t>
            </w:r>
          </w:p>
        </w:tc>
      </w:tr>
      <w:tr w14:paraId="289ABB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577" w:type="dxa"/>
            <w:vMerge w:val="restart"/>
            <w:tcBorders>
              <w:top w:val="single" w:color="auto" w:sz="4" w:space="0"/>
              <w:left w:val="single" w:color="auto" w:sz="12" w:space="0"/>
              <w:right w:val="single" w:color="auto" w:sz="4" w:space="0"/>
            </w:tcBorders>
            <w:tcMar>
              <w:top w:w="15" w:type="dxa"/>
              <w:left w:w="0" w:type="dxa"/>
              <w:bottom w:w="15" w:type="dxa"/>
              <w:right w:w="15" w:type="dxa"/>
            </w:tcMar>
            <w:vAlign w:val="center"/>
          </w:tcPr>
          <w:p w14:paraId="26B3DCD8">
            <w:pPr>
              <w:pStyle w:val="59"/>
              <w:ind w:firstLine="360"/>
              <w:rPr>
                <w:rFonts w:hint="eastAsia" w:hAnsi="宋体"/>
                <w:bCs/>
                <w:sz w:val="18"/>
                <w:szCs w:val="18"/>
              </w:rPr>
            </w:pPr>
            <w:r>
              <w:rPr>
                <w:rFonts w:hint="eastAsia" w:hAnsi="宋体"/>
                <w:bCs/>
                <w:sz w:val="18"/>
                <w:szCs w:val="18"/>
              </w:rPr>
              <w:t>团队协作</w:t>
            </w:r>
          </w:p>
          <w:p w14:paraId="5D2C1625">
            <w:pPr>
              <w:pStyle w:val="59"/>
              <w:ind w:firstLine="360"/>
              <w:rPr>
                <w:rFonts w:hint="eastAsia" w:hAnsi="宋体"/>
                <w:sz w:val="18"/>
                <w:szCs w:val="18"/>
              </w:rPr>
            </w:pPr>
            <w:r>
              <w:rPr>
                <w:rFonts w:hint="eastAsia" w:hAnsi="宋体"/>
                <w:bCs/>
                <w:sz w:val="18"/>
                <w:szCs w:val="18"/>
              </w:rPr>
              <w:t>（15分）</w:t>
            </w:r>
          </w:p>
        </w:tc>
        <w:tc>
          <w:tcPr>
            <w:tcW w:w="1600" w:type="dxa"/>
            <w:tcBorders>
              <w:top w:val="single" w:color="auto" w:sz="4" w:space="0"/>
              <w:left w:val="single" w:color="auto" w:sz="4" w:space="0"/>
              <w:bottom w:val="single" w:color="auto" w:sz="4" w:space="0"/>
              <w:right w:val="single" w:color="auto" w:sz="4" w:space="0"/>
            </w:tcBorders>
            <w:vAlign w:val="center"/>
          </w:tcPr>
          <w:p w14:paraId="7F5A74CF">
            <w:pPr>
              <w:pStyle w:val="59"/>
              <w:ind w:firstLine="360"/>
              <w:rPr>
                <w:rFonts w:hint="eastAsia" w:hAnsi="宋体"/>
                <w:bCs/>
                <w:sz w:val="18"/>
                <w:szCs w:val="18"/>
              </w:rPr>
            </w:pPr>
            <w:r>
              <w:rPr>
                <w:rFonts w:hint="eastAsia" w:hAnsi="宋体"/>
                <w:bCs/>
                <w:sz w:val="18"/>
                <w:szCs w:val="18"/>
              </w:rPr>
              <w:t>沟通协调</w:t>
            </w:r>
          </w:p>
          <w:p w14:paraId="4C403491">
            <w:pPr>
              <w:pStyle w:val="59"/>
              <w:ind w:firstLine="360"/>
              <w:rPr>
                <w:rFonts w:hint="eastAsia" w:hAnsi="宋体"/>
                <w:sz w:val="18"/>
                <w:szCs w:val="18"/>
              </w:rPr>
            </w:pPr>
            <w:r>
              <w:rPr>
                <w:rFonts w:hint="eastAsia" w:hAnsi="宋体"/>
                <w:bCs/>
                <w:sz w:val="18"/>
                <w:szCs w:val="18"/>
              </w:rPr>
              <w:t>（5分）</w:t>
            </w:r>
          </w:p>
        </w:tc>
        <w:tc>
          <w:tcPr>
            <w:tcW w:w="5285" w:type="dxa"/>
            <w:tcBorders>
              <w:top w:val="single" w:color="auto" w:sz="4" w:space="0"/>
              <w:left w:val="single" w:color="auto" w:sz="4" w:space="0"/>
              <w:bottom w:val="single" w:color="auto" w:sz="4" w:space="0"/>
              <w:right w:val="single" w:color="auto" w:sz="12" w:space="0"/>
            </w:tcBorders>
            <w:vAlign w:val="center"/>
          </w:tcPr>
          <w:p w14:paraId="562D72D2">
            <w:pPr>
              <w:pStyle w:val="59"/>
              <w:ind w:firstLine="0" w:firstLineChars="0"/>
              <w:rPr>
                <w:rFonts w:hint="eastAsia" w:hAnsi="宋体"/>
                <w:sz w:val="18"/>
                <w:szCs w:val="18"/>
              </w:rPr>
            </w:pPr>
            <w:r>
              <w:rPr>
                <w:rFonts w:hint="eastAsia" w:hAnsi="宋体"/>
                <w:sz w:val="18"/>
                <w:szCs w:val="18"/>
              </w:rPr>
              <w:t>3分：沟通协调能力差，团队合作不顺畅。</w:t>
            </w:r>
            <w:r>
              <w:rPr>
                <w:rFonts w:hint="eastAsia" w:hAnsi="宋体"/>
                <w:sz w:val="18"/>
                <w:szCs w:val="18"/>
              </w:rPr>
              <w:br w:type="textWrapping"/>
            </w:r>
            <w:r>
              <w:rPr>
                <w:rFonts w:hint="eastAsia" w:hAnsi="宋体"/>
                <w:sz w:val="18"/>
                <w:szCs w:val="18"/>
              </w:rPr>
              <w:t>4分：沟通协调能力一般，团队合作基本顺畅。</w:t>
            </w:r>
            <w:r>
              <w:rPr>
                <w:rFonts w:hint="eastAsia" w:hAnsi="宋体"/>
                <w:sz w:val="18"/>
                <w:szCs w:val="18"/>
              </w:rPr>
              <w:br w:type="textWrapping"/>
            </w:r>
            <w:r>
              <w:rPr>
                <w:rFonts w:hint="eastAsia" w:hAnsi="宋体"/>
                <w:sz w:val="18"/>
                <w:szCs w:val="18"/>
              </w:rPr>
              <w:t>5分：沟通协调能力强，团队合作顺畅。</w:t>
            </w:r>
          </w:p>
        </w:tc>
      </w:tr>
      <w:tr w14:paraId="4A9A01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577" w:type="dxa"/>
            <w:vMerge w:val="continue"/>
            <w:tcBorders>
              <w:left w:val="single" w:color="auto" w:sz="12" w:space="0"/>
              <w:right w:val="single" w:color="auto" w:sz="4" w:space="0"/>
            </w:tcBorders>
            <w:tcMar>
              <w:top w:w="15" w:type="dxa"/>
              <w:left w:w="0" w:type="dxa"/>
              <w:bottom w:w="15" w:type="dxa"/>
              <w:right w:w="15" w:type="dxa"/>
            </w:tcMar>
            <w:vAlign w:val="center"/>
          </w:tcPr>
          <w:p w14:paraId="531630D3">
            <w:pPr>
              <w:pStyle w:val="59"/>
              <w:ind w:firstLine="360"/>
              <w:rPr>
                <w:rFonts w:hint="eastAsia" w:hAnsi="宋体"/>
                <w:bCs/>
                <w:sz w:val="18"/>
                <w:szCs w:val="18"/>
              </w:rPr>
            </w:pPr>
          </w:p>
        </w:tc>
        <w:tc>
          <w:tcPr>
            <w:tcW w:w="1600" w:type="dxa"/>
            <w:tcBorders>
              <w:top w:val="single" w:color="auto" w:sz="4" w:space="0"/>
              <w:left w:val="single" w:color="auto" w:sz="4" w:space="0"/>
              <w:bottom w:val="single" w:color="auto" w:sz="4" w:space="0"/>
              <w:right w:val="single" w:color="auto" w:sz="4" w:space="0"/>
            </w:tcBorders>
            <w:vAlign w:val="center"/>
          </w:tcPr>
          <w:p w14:paraId="155BE6C5">
            <w:pPr>
              <w:widowControl/>
              <w:autoSpaceDE w:val="0"/>
              <w:snapToGrid w:val="0"/>
              <w:spacing w:before="120" w:beforeLines="50" w:line="360" w:lineRule="auto"/>
              <w:jc w:val="center"/>
              <w:rPr>
                <w:rStyle w:val="233"/>
                <w:rFonts w:hint="eastAsia" w:ascii="宋体" w:hAnsi="宋体"/>
                <w:b w:val="0"/>
                <w:color w:val="404040"/>
                <w:sz w:val="18"/>
                <w:szCs w:val="18"/>
              </w:rPr>
            </w:pPr>
            <w:r>
              <w:rPr>
                <w:rStyle w:val="233"/>
                <w:rFonts w:hint="eastAsia" w:ascii="宋体" w:hAnsi="宋体"/>
                <w:b w:val="0"/>
                <w:color w:val="404040"/>
                <w:kern w:val="0"/>
                <w:sz w:val="18"/>
                <w:szCs w:val="18"/>
              </w:rPr>
              <w:t>任务分配</w:t>
            </w:r>
          </w:p>
          <w:p w14:paraId="01B0DE6D">
            <w:pPr>
              <w:pStyle w:val="59"/>
              <w:ind w:firstLine="360"/>
              <w:rPr>
                <w:rFonts w:hint="eastAsia" w:hAnsi="宋体"/>
                <w:bCs/>
                <w:sz w:val="18"/>
                <w:szCs w:val="18"/>
              </w:rPr>
            </w:pPr>
            <w:r>
              <w:rPr>
                <w:rStyle w:val="233"/>
                <w:rFonts w:hint="eastAsia" w:ascii="宋体" w:hAnsi="宋体"/>
                <w:b w:val="0"/>
                <w:color w:val="404040"/>
                <w:sz w:val="18"/>
                <w:szCs w:val="18"/>
              </w:rPr>
              <w:t>（5分）</w:t>
            </w:r>
          </w:p>
        </w:tc>
        <w:tc>
          <w:tcPr>
            <w:tcW w:w="5285" w:type="dxa"/>
            <w:tcBorders>
              <w:top w:val="single" w:color="auto" w:sz="4" w:space="0"/>
              <w:left w:val="single" w:color="auto" w:sz="4" w:space="0"/>
              <w:bottom w:val="single" w:color="auto" w:sz="4" w:space="0"/>
              <w:right w:val="single" w:color="auto" w:sz="12" w:space="0"/>
            </w:tcBorders>
            <w:vAlign w:val="center"/>
          </w:tcPr>
          <w:p w14:paraId="79519A51">
            <w:pPr>
              <w:pStyle w:val="59"/>
              <w:ind w:firstLine="0" w:firstLineChars="0"/>
              <w:rPr>
                <w:rFonts w:hint="eastAsia" w:hAnsi="宋体"/>
                <w:sz w:val="18"/>
                <w:szCs w:val="18"/>
              </w:rPr>
            </w:pPr>
            <w:r>
              <w:rPr>
                <w:rFonts w:hint="eastAsia" w:hAnsi="宋体"/>
                <w:color w:val="404040"/>
                <w:sz w:val="18"/>
                <w:szCs w:val="18"/>
              </w:rPr>
              <w:t>3分：任务分配不合理，影响团队效率。</w:t>
            </w:r>
            <w:r>
              <w:rPr>
                <w:rFonts w:hint="eastAsia" w:hAnsi="宋体"/>
                <w:color w:val="404040"/>
                <w:sz w:val="18"/>
                <w:szCs w:val="18"/>
              </w:rPr>
              <w:br w:type="textWrapping"/>
            </w:r>
            <w:r>
              <w:rPr>
                <w:rFonts w:hint="eastAsia" w:hAnsi="宋体"/>
                <w:color w:val="404040"/>
                <w:sz w:val="18"/>
                <w:szCs w:val="18"/>
              </w:rPr>
              <w:t>4分：任务分配基本合理，团队效率一般。</w:t>
            </w:r>
            <w:r>
              <w:rPr>
                <w:rFonts w:hint="eastAsia" w:hAnsi="宋体"/>
                <w:color w:val="404040"/>
                <w:sz w:val="18"/>
                <w:szCs w:val="18"/>
              </w:rPr>
              <w:br w:type="textWrapping"/>
            </w:r>
            <w:r>
              <w:rPr>
                <w:rFonts w:hint="eastAsia" w:hAnsi="宋体"/>
                <w:color w:val="404040"/>
                <w:sz w:val="18"/>
                <w:szCs w:val="18"/>
              </w:rPr>
              <w:t>5分：任务分配合理，团队效率高。</w:t>
            </w:r>
          </w:p>
        </w:tc>
      </w:tr>
      <w:tr w14:paraId="4159EC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577" w:type="dxa"/>
            <w:vMerge w:val="continue"/>
            <w:tcBorders>
              <w:left w:val="single" w:color="auto" w:sz="12" w:space="0"/>
              <w:bottom w:val="single" w:color="auto" w:sz="4" w:space="0"/>
              <w:right w:val="single" w:color="auto" w:sz="4" w:space="0"/>
            </w:tcBorders>
            <w:tcMar>
              <w:top w:w="15" w:type="dxa"/>
              <w:left w:w="0" w:type="dxa"/>
              <w:bottom w:w="15" w:type="dxa"/>
              <w:right w:w="15" w:type="dxa"/>
            </w:tcMar>
            <w:vAlign w:val="center"/>
          </w:tcPr>
          <w:p w14:paraId="11348D16">
            <w:pPr>
              <w:pStyle w:val="59"/>
              <w:ind w:firstLine="360"/>
              <w:rPr>
                <w:rFonts w:hint="eastAsia" w:hAnsi="宋体"/>
                <w:bCs/>
                <w:sz w:val="18"/>
                <w:szCs w:val="18"/>
              </w:rPr>
            </w:pPr>
          </w:p>
        </w:tc>
        <w:tc>
          <w:tcPr>
            <w:tcW w:w="1600" w:type="dxa"/>
            <w:tcBorders>
              <w:top w:val="single" w:color="auto" w:sz="4" w:space="0"/>
              <w:left w:val="single" w:color="auto" w:sz="4" w:space="0"/>
              <w:bottom w:val="single" w:color="auto" w:sz="4" w:space="0"/>
              <w:right w:val="single" w:color="auto" w:sz="4" w:space="0"/>
            </w:tcBorders>
            <w:vAlign w:val="center"/>
          </w:tcPr>
          <w:p w14:paraId="28152F1B">
            <w:pPr>
              <w:widowControl/>
              <w:autoSpaceDE w:val="0"/>
              <w:snapToGrid w:val="0"/>
              <w:spacing w:before="120" w:beforeLines="50" w:line="360" w:lineRule="auto"/>
              <w:jc w:val="center"/>
              <w:rPr>
                <w:rStyle w:val="233"/>
                <w:rFonts w:hint="eastAsia" w:ascii="宋体" w:hAnsi="宋体"/>
                <w:b w:val="0"/>
                <w:kern w:val="0"/>
                <w:sz w:val="18"/>
                <w:szCs w:val="18"/>
              </w:rPr>
            </w:pPr>
            <w:r>
              <w:rPr>
                <w:rStyle w:val="233"/>
                <w:rFonts w:hint="eastAsia" w:ascii="宋体" w:hAnsi="宋体"/>
                <w:b w:val="0"/>
                <w:color w:val="404040"/>
                <w:kern w:val="0"/>
                <w:sz w:val="18"/>
                <w:szCs w:val="18"/>
              </w:rPr>
              <w:t>团队精神</w:t>
            </w:r>
          </w:p>
          <w:p w14:paraId="4FBCD56E">
            <w:pPr>
              <w:pStyle w:val="59"/>
              <w:ind w:firstLine="360"/>
              <w:rPr>
                <w:rFonts w:hint="eastAsia" w:hAnsi="宋体"/>
                <w:bCs/>
                <w:sz w:val="18"/>
                <w:szCs w:val="18"/>
              </w:rPr>
            </w:pPr>
            <w:r>
              <w:rPr>
                <w:rStyle w:val="233"/>
                <w:rFonts w:hint="eastAsia" w:ascii="宋体" w:hAnsi="宋体"/>
                <w:b w:val="0"/>
                <w:color w:val="404040"/>
                <w:sz w:val="18"/>
                <w:szCs w:val="18"/>
              </w:rPr>
              <w:t>（5分）</w:t>
            </w:r>
          </w:p>
        </w:tc>
        <w:tc>
          <w:tcPr>
            <w:tcW w:w="5285" w:type="dxa"/>
            <w:tcBorders>
              <w:top w:val="single" w:color="auto" w:sz="4" w:space="0"/>
              <w:left w:val="single" w:color="auto" w:sz="4" w:space="0"/>
              <w:bottom w:val="single" w:color="auto" w:sz="4" w:space="0"/>
              <w:right w:val="single" w:color="auto" w:sz="12" w:space="0"/>
            </w:tcBorders>
            <w:vAlign w:val="center"/>
          </w:tcPr>
          <w:p w14:paraId="1A54C6C3">
            <w:pPr>
              <w:pStyle w:val="59"/>
              <w:ind w:firstLine="0" w:firstLineChars="0"/>
              <w:rPr>
                <w:rFonts w:hint="eastAsia" w:hAnsi="宋体"/>
                <w:sz w:val="18"/>
                <w:szCs w:val="18"/>
              </w:rPr>
            </w:pPr>
            <w:r>
              <w:rPr>
                <w:rFonts w:hint="eastAsia" w:hAnsi="宋体"/>
                <w:color w:val="404040"/>
                <w:sz w:val="18"/>
                <w:szCs w:val="18"/>
              </w:rPr>
              <w:t>3分：团队精神薄弱，缺乏合作意识。</w:t>
            </w:r>
            <w:r>
              <w:rPr>
                <w:rFonts w:hint="eastAsia" w:hAnsi="宋体"/>
                <w:color w:val="404040"/>
                <w:sz w:val="18"/>
                <w:szCs w:val="18"/>
              </w:rPr>
              <w:br w:type="textWrapping"/>
            </w:r>
            <w:r>
              <w:rPr>
                <w:rFonts w:hint="eastAsia" w:hAnsi="宋体"/>
                <w:color w:val="404040"/>
                <w:sz w:val="18"/>
                <w:szCs w:val="18"/>
              </w:rPr>
              <w:t>4分：团队精神一般，有一定合作意识。</w:t>
            </w:r>
            <w:r>
              <w:rPr>
                <w:rFonts w:hint="eastAsia" w:hAnsi="宋体"/>
                <w:color w:val="404040"/>
                <w:sz w:val="18"/>
                <w:szCs w:val="18"/>
              </w:rPr>
              <w:br w:type="textWrapping"/>
            </w:r>
            <w:r>
              <w:rPr>
                <w:rFonts w:hint="eastAsia" w:hAnsi="宋体"/>
                <w:color w:val="404040"/>
                <w:sz w:val="18"/>
                <w:szCs w:val="18"/>
              </w:rPr>
              <w:t>5分：团队精神强，积极合作。</w:t>
            </w:r>
          </w:p>
        </w:tc>
      </w:tr>
      <w:tr w14:paraId="1D24A6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577" w:type="dxa"/>
            <w:vMerge w:val="restart"/>
            <w:tcBorders>
              <w:top w:val="single" w:color="auto" w:sz="4" w:space="0"/>
              <w:left w:val="single" w:color="auto" w:sz="12" w:space="0"/>
              <w:right w:val="single" w:color="auto" w:sz="4" w:space="0"/>
            </w:tcBorders>
            <w:tcMar>
              <w:top w:w="15" w:type="dxa"/>
              <w:left w:w="0" w:type="dxa"/>
              <w:bottom w:w="15" w:type="dxa"/>
              <w:right w:w="15" w:type="dxa"/>
            </w:tcMar>
            <w:vAlign w:val="center"/>
          </w:tcPr>
          <w:p w14:paraId="31D6878B">
            <w:pPr>
              <w:pStyle w:val="59"/>
              <w:ind w:firstLine="360"/>
              <w:rPr>
                <w:rFonts w:hint="eastAsia" w:hAnsi="宋体"/>
                <w:bCs/>
                <w:sz w:val="18"/>
                <w:szCs w:val="18"/>
              </w:rPr>
            </w:pPr>
            <w:r>
              <w:rPr>
                <w:rFonts w:hint="eastAsia" w:hAnsi="宋体"/>
                <w:bCs/>
                <w:sz w:val="18"/>
                <w:szCs w:val="18"/>
              </w:rPr>
              <w:t>工作态度</w:t>
            </w:r>
          </w:p>
          <w:p w14:paraId="0E1AB0CC">
            <w:pPr>
              <w:pStyle w:val="59"/>
              <w:ind w:firstLine="360"/>
              <w:rPr>
                <w:rFonts w:hint="eastAsia" w:hAnsi="宋体"/>
                <w:bCs/>
                <w:sz w:val="18"/>
                <w:szCs w:val="18"/>
              </w:rPr>
            </w:pPr>
            <w:r>
              <w:rPr>
                <w:rFonts w:hint="eastAsia" w:hAnsi="宋体"/>
                <w:bCs/>
                <w:sz w:val="18"/>
                <w:szCs w:val="18"/>
              </w:rPr>
              <w:t>（15分）</w:t>
            </w:r>
          </w:p>
          <w:p w14:paraId="30FD38A9">
            <w:pPr>
              <w:pStyle w:val="59"/>
              <w:ind w:firstLine="360"/>
              <w:rPr>
                <w:rFonts w:hint="eastAsia" w:hAnsi="宋体"/>
                <w:bCs/>
                <w:sz w:val="18"/>
                <w:szCs w:val="18"/>
              </w:rPr>
            </w:pPr>
          </w:p>
        </w:tc>
        <w:tc>
          <w:tcPr>
            <w:tcW w:w="1600" w:type="dxa"/>
            <w:tcBorders>
              <w:top w:val="single" w:color="auto" w:sz="4" w:space="0"/>
              <w:left w:val="single" w:color="auto" w:sz="4" w:space="0"/>
              <w:bottom w:val="single" w:color="auto" w:sz="4" w:space="0"/>
              <w:right w:val="single" w:color="auto" w:sz="4" w:space="0"/>
            </w:tcBorders>
            <w:vAlign w:val="center"/>
          </w:tcPr>
          <w:p w14:paraId="7D7367DC">
            <w:pPr>
              <w:widowControl/>
              <w:autoSpaceDE w:val="0"/>
              <w:snapToGrid w:val="0"/>
              <w:spacing w:before="120" w:beforeLines="50" w:line="360" w:lineRule="auto"/>
              <w:jc w:val="center"/>
              <w:rPr>
                <w:rStyle w:val="233"/>
                <w:rFonts w:hint="eastAsia" w:ascii="宋体" w:hAnsi="宋体"/>
                <w:b w:val="0"/>
                <w:kern w:val="0"/>
                <w:sz w:val="18"/>
                <w:szCs w:val="18"/>
              </w:rPr>
            </w:pPr>
            <w:r>
              <w:rPr>
                <w:rStyle w:val="233"/>
                <w:rFonts w:hint="eastAsia" w:ascii="宋体" w:hAnsi="宋体"/>
                <w:b w:val="0"/>
                <w:color w:val="404040"/>
                <w:kern w:val="0"/>
                <w:sz w:val="18"/>
                <w:szCs w:val="18"/>
              </w:rPr>
              <w:t>责任心</w:t>
            </w:r>
          </w:p>
          <w:p w14:paraId="4F64532A">
            <w:pPr>
              <w:pStyle w:val="59"/>
              <w:ind w:firstLine="360"/>
              <w:rPr>
                <w:rFonts w:hint="eastAsia" w:hAnsi="宋体"/>
                <w:bCs/>
                <w:sz w:val="18"/>
                <w:szCs w:val="18"/>
              </w:rPr>
            </w:pPr>
            <w:r>
              <w:rPr>
                <w:rStyle w:val="233"/>
                <w:rFonts w:hint="eastAsia" w:ascii="宋体" w:hAnsi="宋体"/>
                <w:b w:val="0"/>
                <w:color w:val="404040"/>
                <w:sz w:val="18"/>
                <w:szCs w:val="18"/>
              </w:rPr>
              <w:t>（5分）</w:t>
            </w:r>
          </w:p>
        </w:tc>
        <w:tc>
          <w:tcPr>
            <w:tcW w:w="5285" w:type="dxa"/>
            <w:tcBorders>
              <w:top w:val="single" w:color="auto" w:sz="4" w:space="0"/>
              <w:left w:val="single" w:color="auto" w:sz="4" w:space="0"/>
              <w:bottom w:val="single" w:color="auto" w:sz="4" w:space="0"/>
              <w:right w:val="single" w:color="auto" w:sz="12" w:space="0"/>
            </w:tcBorders>
            <w:vAlign w:val="center"/>
          </w:tcPr>
          <w:p w14:paraId="56D74FFE">
            <w:pPr>
              <w:pStyle w:val="59"/>
              <w:ind w:firstLine="0" w:firstLineChars="0"/>
              <w:rPr>
                <w:rFonts w:hint="eastAsia" w:hAnsi="宋体"/>
                <w:sz w:val="18"/>
                <w:szCs w:val="18"/>
              </w:rPr>
            </w:pPr>
            <w:r>
              <w:rPr>
                <w:rFonts w:hint="eastAsia" w:hAnsi="宋体"/>
                <w:color w:val="404040"/>
                <w:sz w:val="18"/>
                <w:szCs w:val="18"/>
              </w:rPr>
              <w:t>3分：责任心差，工作态度不端正。</w:t>
            </w:r>
            <w:r>
              <w:rPr>
                <w:rFonts w:hint="eastAsia" w:hAnsi="宋体"/>
                <w:color w:val="404040"/>
                <w:sz w:val="18"/>
                <w:szCs w:val="18"/>
              </w:rPr>
              <w:br w:type="textWrapping"/>
            </w:r>
            <w:r>
              <w:rPr>
                <w:rFonts w:hint="eastAsia" w:hAnsi="宋体"/>
                <w:color w:val="404040"/>
                <w:sz w:val="18"/>
                <w:szCs w:val="18"/>
              </w:rPr>
              <w:t>4分：责任心一般，工作态度基本端正。</w:t>
            </w:r>
            <w:r>
              <w:rPr>
                <w:rFonts w:hint="eastAsia" w:hAnsi="宋体"/>
                <w:color w:val="404040"/>
                <w:sz w:val="18"/>
                <w:szCs w:val="18"/>
              </w:rPr>
              <w:br w:type="textWrapping"/>
            </w:r>
            <w:r>
              <w:rPr>
                <w:rFonts w:hint="eastAsia" w:hAnsi="宋体"/>
                <w:color w:val="404040"/>
                <w:sz w:val="18"/>
                <w:szCs w:val="18"/>
              </w:rPr>
              <w:t>5分：责任心强，工作态度端正。</w:t>
            </w:r>
          </w:p>
        </w:tc>
      </w:tr>
      <w:tr w14:paraId="09E1CE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577" w:type="dxa"/>
            <w:vMerge w:val="continue"/>
            <w:tcBorders>
              <w:left w:val="single" w:color="auto" w:sz="12" w:space="0"/>
              <w:right w:val="single" w:color="auto" w:sz="4" w:space="0"/>
            </w:tcBorders>
            <w:tcMar>
              <w:top w:w="15" w:type="dxa"/>
              <w:left w:w="0" w:type="dxa"/>
              <w:bottom w:w="15" w:type="dxa"/>
              <w:right w:w="15" w:type="dxa"/>
            </w:tcMar>
            <w:vAlign w:val="center"/>
          </w:tcPr>
          <w:p w14:paraId="220243D2">
            <w:pPr>
              <w:pStyle w:val="59"/>
              <w:ind w:firstLine="360"/>
              <w:rPr>
                <w:rFonts w:hint="eastAsia" w:hAnsi="宋体"/>
                <w:bCs/>
                <w:sz w:val="18"/>
                <w:szCs w:val="18"/>
              </w:rPr>
            </w:pPr>
          </w:p>
        </w:tc>
        <w:tc>
          <w:tcPr>
            <w:tcW w:w="1600" w:type="dxa"/>
            <w:tcBorders>
              <w:top w:val="single" w:color="auto" w:sz="4" w:space="0"/>
              <w:left w:val="single" w:color="auto" w:sz="4" w:space="0"/>
              <w:bottom w:val="single" w:color="auto" w:sz="4" w:space="0"/>
              <w:right w:val="single" w:color="auto" w:sz="4" w:space="0"/>
            </w:tcBorders>
            <w:vAlign w:val="center"/>
          </w:tcPr>
          <w:p w14:paraId="4BF08AA2">
            <w:pPr>
              <w:widowControl/>
              <w:autoSpaceDE w:val="0"/>
              <w:snapToGrid w:val="0"/>
              <w:spacing w:before="120" w:beforeLines="50" w:line="360" w:lineRule="auto"/>
              <w:jc w:val="center"/>
              <w:rPr>
                <w:rStyle w:val="233"/>
                <w:rFonts w:hint="eastAsia" w:ascii="宋体" w:hAnsi="宋体"/>
                <w:b w:val="0"/>
                <w:kern w:val="0"/>
                <w:sz w:val="18"/>
                <w:szCs w:val="18"/>
              </w:rPr>
            </w:pPr>
            <w:r>
              <w:rPr>
                <w:rStyle w:val="233"/>
                <w:rFonts w:hint="eastAsia" w:ascii="宋体" w:hAnsi="宋体"/>
                <w:b w:val="0"/>
                <w:color w:val="404040"/>
                <w:kern w:val="0"/>
                <w:sz w:val="18"/>
                <w:szCs w:val="18"/>
              </w:rPr>
              <w:t>积极性</w:t>
            </w:r>
          </w:p>
          <w:p w14:paraId="66033D4B">
            <w:pPr>
              <w:pStyle w:val="59"/>
              <w:ind w:firstLine="360"/>
              <w:rPr>
                <w:rFonts w:hint="eastAsia" w:hAnsi="宋体"/>
                <w:bCs/>
                <w:sz w:val="18"/>
                <w:szCs w:val="18"/>
              </w:rPr>
            </w:pPr>
            <w:r>
              <w:rPr>
                <w:rStyle w:val="233"/>
                <w:rFonts w:hint="eastAsia" w:ascii="宋体" w:hAnsi="宋体"/>
                <w:b w:val="0"/>
                <w:color w:val="404040"/>
                <w:sz w:val="18"/>
                <w:szCs w:val="18"/>
              </w:rPr>
              <w:t>（5分）</w:t>
            </w:r>
          </w:p>
        </w:tc>
        <w:tc>
          <w:tcPr>
            <w:tcW w:w="5285" w:type="dxa"/>
            <w:tcBorders>
              <w:top w:val="single" w:color="auto" w:sz="4" w:space="0"/>
              <w:left w:val="single" w:color="auto" w:sz="4" w:space="0"/>
              <w:bottom w:val="single" w:color="auto" w:sz="4" w:space="0"/>
              <w:right w:val="single" w:color="auto" w:sz="12" w:space="0"/>
            </w:tcBorders>
            <w:vAlign w:val="center"/>
          </w:tcPr>
          <w:p w14:paraId="25535B49">
            <w:pPr>
              <w:pStyle w:val="59"/>
              <w:ind w:firstLine="0" w:firstLineChars="0"/>
              <w:rPr>
                <w:rFonts w:hint="eastAsia" w:hAnsi="宋体"/>
                <w:sz w:val="18"/>
                <w:szCs w:val="18"/>
              </w:rPr>
            </w:pPr>
            <w:r>
              <w:rPr>
                <w:rFonts w:hint="eastAsia" w:hAnsi="宋体"/>
                <w:color w:val="404040"/>
                <w:sz w:val="18"/>
                <w:szCs w:val="18"/>
              </w:rPr>
              <w:t>3分：工作积极性差，缺乏主动性。</w:t>
            </w:r>
            <w:r>
              <w:rPr>
                <w:rFonts w:hint="eastAsia" w:hAnsi="宋体"/>
                <w:color w:val="404040"/>
                <w:sz w:val="18"/>
                <w:szCs w:val="18"/>
              </w:rPr>
              <w:br w:type="textWrapping"/>
            </w:r>
            <w:r>
              <w:rPr>
                <w:rFonts w:hint="eastAsia" w:hAnsi="宋体"/>
                <w:color w:val="404040"/>
                <w:sz w:val="18"/>
                <w:szCs w:val="18"/>
              </w:rPr>
              <w:t>4分：工作积极性一般，有一定主动性。</w:t>
            </w:r>
            <w:r>
              <w:rPr>
                <w:rFonts w:hint="eastAsia" w:hAnsi="宋体"/>
                <w:color w:val="404040"/>
                <w:sz w:val="18"/>
                <w:szCs w:val="18"/>
              </w:rPr>
              <w:br w:type="textWrapping"/>
            </w:r>
            <w:r>
              <w:rPr>
                <w:rFonts w:hint="eastAsia" w:hAnsi="宋体"/>
                <w:color w:val="404040"/>
                <w:sz w:val="18"/>
                <w:szCs w:val="18"/>
              </w:rPr>
              <w:t>5分：工作积极性高，主动性强。</w:t>
            </w:r>
          </w:p>
        </w:tc>
      </w:tr>
      <w:tr w14:paraId="4EE0A2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577" w:type="dxa"/>
            <w:vMerge w:val="continue"/>
            <w:tcBorders>
              <w:left w:val="single" w:color="auto" w:sz="12" w:space="0"/>
              <w:bottom w:val="single" w:color="auto" w:sz="4" w:space="0"/>
              <w:right w:val="single" w:color="auto" w:sz="4" w:space="0"/>
            </w:tcBorders>
            <w:tcMar>
              <w:top w:w="15" w:type="dxa"/>
              <w:left w:w="0" w:type="dxa"/>
              <w:bottom w:w="15" w:type="dxa"/>
              <w:right w:w="15" w:type="dxa"/>
            </w:tcMar>
            <w:vAlign w:val="center"/>
          </w:tcPr>
          <w:p w14:paraId="36C44275">
            <w:pPr>
              <w:pStyle w:val="59"/>
              <w:ind w:firstLine="360"/>
              <w:rPr>
                <w:rFonts w:hint="eastAsia" w:hAnsi="宋体"/>
                <w:bCs/>
                <w:sz w:val="18"/>
                <w:szCs w:val="18"/>
              </w:rPr>
            </w:pPr>
          </w:p>
        </w:tc>
        <w:tc>
          <w:tcPr>
            <w:tcW w:w="1600" w:type="dxa"/>
            <w:tcBorders>
              <w:top w:val="single" w:color="auto" w:sz="4" w:space="0"/>
              <w:left w:val="single" w:color="auto" w:sz="4" w:space="0"/>
              <w:bottom w:val="single" w:color="auto" w:sz="4" w:space="0"/>
              <w:right w:val="single" w:color="auto" w:sz="4" w:space="0"/>
            </w:tcBorders>
            <w:vAlign w:val="center"/>
          </w:tcPr>
          <w:p w14:paraId="223665A3">
            <w:pPr>
              <w:widowControl/>
              <w:autoSpaceDE w:val="0"/>
              <w:snapToGrid w:val="0"/>
              <w:spacing w:before="120" w:beforeLines="50" w:line="360" w:lineRule="auto"/>
              <w:jc w:val="center"/>
              <w:rPr>
                <w:rStyle w:val="233"/>
                <w:rFonts w:hint="eastAsia" w:ascii="宋体" w:hAnsi="宋体"/>
                <w:b w:val="0"/>
                <w:kern w:val="0"/>
                <w:sz w:val="18"/>
                <w:szCs w:val="18"/>
              </w:rPr>
            </w:pPr>
            <w:r>
              <w:rPr>
                <w:rStyle w:val="233"/>
                <w:rFonts w:hint="eastAsia" w:ascii="宋体" w:hAnsi="宋体"/>
                <w:b w:val="0"/>
                <w:color w:val="404040"/>
                <w:kern w:val="0"/>
                <w:sz w:val="18"/>
                <w:szCs w:val="18"/>
              </w:rPr>
              <w:t>纪律性</w:t>
            </w:r>
          </w:p>
          <w:p w14:paraId="1BE5DD9B">
            <w:pPr>
              <w:pStyle w:val="59"/>
              <w:ind w:firstLine="360"/>
              <w:rPr>
                <w:rFonts w:hint="eastAsia" w:hAnsi="宋体"/>
                <w:bCs/>
                <w:sz w:val="18"/>
                <w:szCs w:val="18"/>
              </w:rPr>
            </w:pPr>
            <w:r>
              <w:rPr>
                <w:rStyle w:val="233"/>
                <w:rFonts w:hint="eastAsia" w:ascii="宋体" w:hAnsi="宋体"/>
                <w:b w:val="0"/>
                <w:color w:val="404040"/>
                <w:sz w:val="18"/>
                <w:szCs w:val="18"/>
              </w:rPr>
              <w:t>（5分）</w:t>
            </w:r>
          </w:p>
        </w:tc>
        <w:tc>
          <w:tcPr>
            <w:tcW w:w="5285" w:type="dxa"/>
            <w:tcBorders>
              <w:top w:val="single" w:color="auto" w:sz="4" w:space="0"/>
              <w:left w:val="single" w:color="auto" w:sz="4" w:space="0"/>
              <w:bottom w:val="single" w:color="auto" w:sz="4" w:space="0"/>
              <w:right w:val="single" w:color="auto" w:sz="12" w:space="0"/>
            </w:tcBorders>
            <w:vAlign w:val="center"/>
          </w:tcPr>
          <w:p w14:paraId="5C735069">
            <w:pPr>
              <w:pStyle w:val="59"/>
              <w:ind w:firstLine="0" w:firstLineChars="0"/>
              <w:rPr>
                <w:rFonts w:hint="eastAsia" w:hAnsi="宋体"/>
                <w:sz w:val="18"/>
                <w:szCs w:val="18"/>
              </w:rPr>
            </w:pPr>
            <w:r>
              <w:rPr>
                <w:rFonts w:hint="eastAsia" w:hAnsi="宋体"/>
                <w:color w:val="404040"/>
                <w:sz w:val="18"/>
                <w:szCs w:val="18"/>
              </w:rPr>
              <w:t>3分：纪律性差，经常违反工作规定。</w:t>
            </w:r>
            <w:r>
              <w:rPr>
                <w:rFonts w:hint="eastAsia" w:hAnsi="宋体"/>
                <w:color w:val="404040"/>
                <w:sz w:val="18"/>
                <w:szCs w:val="18"/>
              </w:rPr>
              <w:br w:type="textWrapping"/>
            </w:r>
            <w:r>
              <w:rPr>
                <w:rFonts w:hint="eastAsia" w:hAnsi="宋体"/>
                <w:color w:val="404040"/>
                <w:sz w:val="18"/>
                <w:szCs w:val="18"/>
              </w:rPr>
              <w:t>4分：纪律性一般，基本遵守工作规定。</w:t>
            </w:r>
            <w:r>
              <w:rPr>
                <w:rFonts w:hint="eastAsia" w:hAnsi="宋体"/>
                <w:color w:val="404040"/>
                <w:sz w:val="18"/>
                <w:szCs w:val="18"/>
              </w:rPr>
              <w:br w:type="textWrapping"/>
            </w:r>
            <w:r>
              <w:rPr>
                <w:rFonts w:hint="eastAsia" w:hAnsi="宋体"/>
                <w:color w:val="404040"/>
                <w:sz w:val="18"/>
                <w:szCs w:val="18"/>
              </w:rPr>
              <w:t>5分：纪律性强，严格遵守工作规定。</w:t>
            </w:r>
          </w:p>
        </w:tc>
      </w:tr>
      <w:tr w14:paraId="59BCB6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577" w:type="dxa"/>
            <w:tcBorders>
              <w:top w:val="single" w:color="auto" w:sz="4" w:space="0"/>
              <w:left w:val="single" w:color="auto" w:sz="12" w:space="0"/>
              <w:bottom w:val="single" w:color="auto" w:sz="4" w:space="0"/>
              <w:right w:val="single" w:color="auto" w:sz="4" w:space="0"/>
            </w:tcBorders>
            <w:tcMar>
              <w:top w:w="15" w:type="dxa"/>
              <w:left w:w="0" w:type="dxa"/>
              <w:bottom w:w="15" w:type="dxa"/>
              <w:right w:w="15" w:type="dxa"/>
            </w:tcMar>
            <w:vAlign w:val="center"/>
          </w:tcPr>
          <w:p w14:paraId="1AC56C4D">
            <w:pPr>
              <w:pStyle w:val="59"/>
              <w:ind w:firstLine="360"/>
              <w:rPr>
                <w:rFonts w:hint="eastAsia" w:hAnsi="宋体"/>
                <w:bCs/>
                <w:sz w:val="18"/>
                <w:szCs w:val="18"/>
              </w:rPr>
            </w:pPr>
            <w:r>
              <w:rPr>
                <w:rFonts w:hint="eastAsia" w:hAnsi="宋体"/>
                <w:bCs/>
                <w:sz w:val="18"/>
                <w:szCs w:val="18"/>
              </w:rPr>
              <w:t>评分结果</w:t>
            </w:r>
          </w:p>
        </w:tc>
        <w:tc>
          <w:tcPr>
            <w:tcW w:w="6885" w:type="dxa"/>
            <w:gridSpan w:val="2"/>
            <w:tcBorders>
              <w:top w:val="single" w:color="auto" w:sz="4" w:space="0"/>
              <w:left w:val="single" w:color="auto" w:sz="4" w:space="0"/>
              <w:bottom w:val="single" w:color="auto" w:sz="4" w:space="0"/>
              <w:right w:val="single" w:color="auto" w:sz="12" w:space="0"/>
            </w:tcBorders>
            <w:vAlign w:val="center"/>
          </w:tcPr>
          <w:p w14:paraId="22D87AE0">
            <w:pPr>
              <w:pStyle w:val="59"/>
              <w:ind w:firstLine="0" w:firstLineChars="0"/>
              <w:rPr>
                <w:rFonts w:hint="eastAsia" w:hAnsi="宋体"/>
                <w:sz w:val="18"/>
                <w:szCs w:val="18"/>
              </w:rPr>
            </w:pPr>
            <w:r>
              <w:rPr>
                <w:rFonts w:hint="eastAsia" w:hAnsi="宋体"/>
                <w:sz w:val="18"/>
                <w:szCs w:val="18"/>
              </w:rPr>
              <w:t>优秀：总分≥90分</w:t>
            </w:r>
          </w:p>
          <w:p w14:paraId="65EE9FFD">
            <w:pPr>
              <w:pStyle w:val="59"/>
              <w:ind w:firstLine="0" w:firstLineChars="0"/>
              <w:rPr>
                <w:rFonts w:hint="eastAsia" w:hAnsi="宋体"/>
                <w:sz w:val="18"/>
                <w:szCs w:val="18"/>
              </w:rPr>
            </w:pPr>
            <w:r>
              <w:rPr>
                <w:rFonts w:hint="eastAsia" w:hAnsi="宋体"/>
                <w:sz w:val="18"/>
                <w:szCs w:val="18"/>
              </w:rPr>
              <w:t>良好：75分≤总分&lt;90分</w:t>
            </w:r>
          </w:p>
          <w:p w14:paraId="0E7CAB18">
            <w:pPr>
              <w:pStyle w:val="59"/>
              <w:ind w:firstLine="0" w:firstLineChars="0"/>
              <w:rPr>
                <w:rFonts w:hint="eastAsia" w:hAnsi="宋体"/>
                <w:sz w:val="18"/>
                <w:szCs w:val="18"/>
              </w:rPr>
            </w:pPr>
            <w:r>
              <w:rPr>
                <w:rFonts w:hint="eastAsia" w:hAnsi="宋体"/>
                <w:sz w:val="18"/>
                <w:szCs w:val="18"/>
              </w:rPr>
              <w:t>合格：60分≤总分&lt;75分</w:t>
            </w:r>
          </w:p>
          <w:p w14:paraId="5FBC66B2">
            <w:pPr>
              <w:pStyle w:val="59"/>
              <w:ind w:firstLine="0" w:firstLineChars="0"/>
              <w:rPr>
                <w:rFonts w:hint="eastAsia" w:hAnsi="宋体"/>
                <w:sz w:val="18"/>
                <w:szCs w:val="18"/>
              </w:rPr>
            </w:pPr>
            <w:r>
              <w:rPr>
                <w:rFonts w:hint="eastAsia" w:hAnsi="宋体"/>
                <w:sz w:val="18"/>
                <w:szCs w:val="18"/>
              </w:rPr>
              <w:t>不合格：总分&lt;60分</w:t>
            </w:r>
          </w:p>
        </w:tc>
      </w:tr>
      <w:tr w14:paraId="5CCCDF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577" w:type="dxa"/>
            <w:tcBorders>
              <w:top w:val="single" w:color="auto" w:sz="4" w:space="0"/>
              <w:left w:val="single" w:color="auto" w:sz="12" w:space="0"/>
              <w:bottom w:val="single" w:color="auto" w:sz="12" w:space="0"/>
              <w:right w:val="single" w:color="auto" w:sz="4" w:space="0"/>
            </w:tcBorders>
            <w:tcMar>
              <w:top w:w="15" w:type="dxa"/>
              <w:left w:w="0" w:type="dxa"/>
              <w:bottom w:w="15" w:type="dxa"/>
              <w:right w:w="15" w:type="dxa"/>
            </w:tcMar>
            <w:vAlign w:val="center"/>
          </w:tcPr>
          <w:p w14:paraId="37B5CFB1">
            <w:pPr>
              <w:pStyle w:val="59"/>
              <w:ind w:firstLine="360"/>
              <w:rPr>
                <w:rFonts w:hint="eastAsia" w:hAnsi="宋体"/>
                <w:bCs/>
                <w:sz w:val="18"/>
                <w:szCs w:val="18"/>
              </w:rPr>
            </w:pPr>
            <w:r>
              <w:rPr>
                <w:rFonts w:hint="eastAsia" w:hAnsi="宋体"/>
                <w:bCs/>
                <w:sz w:val="18"/>
                <w:szCs w:val="18"/>
              </w:rPr>
              <w:t>评定说明</w:t>
            </w:r>
          </w:p>
          <w:p w14:paraId="54ED9769">
            <w:pPr>
              <w:pStyle w:val="59"/>
              <w:ind w:firstLine="360"/>
              <w:rPr>
                <w:rFonts w:hint="eastAsia" w:hAnsi="宋体"/>
                <w:bCs/>
                <w:sz w:val="18"/>
                <w:szCs w:val="18"/>
              </w:rPr>
            </w:pPr>
          </w:p>
        </w:tc>
        <w:tc>
          <w:tcPr>
            <w:tcW w:w="6885" w:type="dxa"/>
            <w:gridSpan w:val="2"/>
            <w:tcBorders>
              <w:top w:val="single" w:color="auto" w:sz="4" w:space="0"/>
              <w:left w:val="single" w:color="auto" w:sz="4" w:space="0"/>
              <w:bottom w:val="single" w:color="auto" w:sz="12" w:space="0"/>
              <w:right w:val="single" w:color="auto" w:sz="12" w:space="0"/>
            </w:tcBorders>
            <w:vAlign w:val="center"/>
          </w:tcPr>
          <w:p w14:paraId="39D67661">
            <w:pPr>
              <w:pStyle w:val="59"/>
              <w:ind w:firstLine="0" w:firstLineChars="0"/>
              <w:rPr>
                <w:rFonts w:hint="eastAsia" w:hAnsi="宋体"/>
                <w:sz w:val="18"/>
                <w:szCs w:val="18"/>
              </w:rPr>
            </w:pPr>
            <w:r>
              <w:rPr>
                <w:rFonts w:hint="eastAsia" w:hAnsi="宋体"/>
                <w:sz w:val="18"/>
                <w:szCs w:val="18"/>
              </w:rPr>
              <w:t>1.评定人员应根据实际情况，结合评分标准进行公正、客观的评分。</w:t>
            </w:r>
          </w:p>
          <w:p w14:paraId="73883BE8">
            <w:pPr>
              <w:pStyle w:val="59"/>
              <w:ind w:firstLine="0" w:firstLineChars="0"/>
              <w:rPr>
                <w:rFonts w:hint="eastAsia" w:hAnsi="宋体"/>
                <w:sz w:val="18"/>
                <w:szCs w:val="18"/>
              </w:rPr>
            </w:pPr>
            <w:r>
              <w:rPr>
                <w:rFonts w:hint="eastAsia" w:hAnsi="宋体"/>
                <w:sz w:val="18"/>
                <w:szCs w:val="18"/>
              </w:rPr>
              <w:t>2.评定过程中应注重被评定人员的实际表现，防止主观偏见。</w:t>
            </w:r>
          </w:p>
          <w:p w14:paraId="4C6F16DC">
            <w:pPr>
              <w:pStyle w:val="59"/>
              <w:ind w:firstLine="0" w:firstLineChars="0"/>
              <w:rPr>
                <w:rFonts w:hint="eastAsia" w:hAnsi="宋体"/>
                <w:sz w:val="18"/>
                <w:szCs w:val="18"/>
              </w:rPr>
            </w:pPr>
            <w:r>
              <w:rPr>
                <w:rFonts w:hint="eastAsia" w:hAnsi="宋体"/>
                <w:sz w:val="18"/>
                <w:szCs w:val="18"/>
              </w:rPr>
              <w:t>3.评定结果应作为人员能力提升和培训的重要依据。</w:t>
            </w:r>
          </w:p>
        </w:tc>
      </w:tr>
      <w:bookmarkEnd w:id="151"/>
    </w:tbl>
    <w:p w14:paraId="3A9B62DF">
      <w:pPr>
        <w:pStyle w:val="59"/>
        <w:ind w:firstLine="0" w:firstLineChars="0"/>
        <w:jc w:val="center"/>
      </w:pPr>
      <w:bookmarkStart w:id="202"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02"/>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60E5E">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4BD42">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02927">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4537E">
    <w:pPr>
      <w:pStyle w:val="55"/>
    </w:pPr>
    <w:r>
      <w:fldChar w:fldCharType="begin"/>
    </w:r>
    <w:r>
      <w:instrText xml:space="preserve">PAGE   \* MERGEFORMAT</w:instrText>
    </w:r>
    <w:r>
      <w:fldChar w:fldCharType="separate"/>
    </w:r>
    <w:r>
      <w:rPr>
        <w:lang w:val="zh-CN"/>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4AD75">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7C4AB">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A5AC0">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7989E">
    <w:pPr>
      <w:pStyle w:val="64"/>
      <w:rPr>
        <w:rFonts w:hint="eastAsia"/>
      </w:rPr>
    </w:pPr>
    <w:r>
      <w:fldChar w:fldCharType="begin"/>
    </w:r>
    <w:r>
      <w:instrText xml:space="preserve"> STYLEREF  标准文件_文件编号  \* MERGEFORMAT </w:instrText>
    </w:r>
    <w:r>
      <w:fldChar w:fldCharType="separate"/>
    </w:r>
    <w:r>
      <w:t>T/CSTC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BFEA1">
    <w:pPr>
      <w:pStyle w:val="19"/>
      <w:jc w:val="right"/>
    </w:pPr>
    <w:r>
      <w:fldChar w:fldCharType="begin"/>
    </w:r>
    <w:r>
      <w:instrText xml:space="preserve"> STYLEREF  标准文件_文件编号  \* MERGEFORMAT </w:instrText>
    </w:r>
    <w:r>
      <w:fldChar w:fldCharType="separate"/>
    </w:r>
    <w:r>
      <w:t>T/CSTC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BB2F"/>
    <w:multiLevelType w:val="multilevel"/>
    <w:tmpl w:val="973EBB2F"/>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tabs>
          <w:tab w:val="left" w:pos="0"/>
        </w:tabs>
        <w:ind w:left="0" w:firstLine="0"/>
      </w:pPr>
      <w:rPr>
        <w:rFonts w:hint="default"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7"/>
  </w:num>
  <w:num w:numId="3">
    <w:abstractNumId w:val="6"/>
  </w:num>
  <w:num w:numId="4">
    <w:abstractNumId w:val="0"/>
  </w:num>
  <w:num w:numId="5">
    <w:abstractNumId w:val="19"/>
  </w:num>
  <w:num w:numId="6">
    <w:abstractNumId w:val="14"/>
  </w:num>
  <w:num w:numId="7">
    <w:abstractNumId w:val="9"/>
  </w:num>
  <w:num w:numId="8">
    <w:abstractNumId w:val="4"/>
  </w:num>
  <w:num w:numId="9">
    <w:abstractNumId w:val="10"/>
  </w:num>
  <w:num w:numId="10">
    <w:abstractNumId w:val="17"/>
  </w:num>
  <w:num w:numId="11">
    <w:abstractNumId w:val="25"/>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29"/>
  </w:num>
  <w:num w:numId="19">
    <w:abstractNumId w:val="16"/>
  </w:num>
  <w:num w:numId="20">
    <w:abstractNumId w:val="2"/>
  </w:num>
  <w:num w:numId="21">
    <w:abstractNumId w:val="11"/>
  </w:num>
  <w:num w:numId="22">
    <w:abstractNumId w:val="30"/>
  </w:num>
  <w:num w:numId="23">
    <w:abstractNumId w:val="21"/>
  </w:num>
  <w:num w:numId="24">
    <w:abstractNumId w:val="7"/>
  </w:num>
  <w:num w:numId="25">
    <w:abstractNumId w:val="26"/>
  </w:num>
  <w:num w:numId="26">
    <w:abstractNumId w:val="28"/>
  </w:num>
  <w:num w:numId="27">
    <w:abstractNumId w:val="3"/>
  </w:num>
  <w:num w:numId="28">
    <w:abstractNumId w:val="5"/>
  </w:num>
  <w:num w:numId="29">
    <w:abstractNumId w:val="15"/>
  </w:num>
  <w:num w:numId="30">
    <w:abstractNumId w:val="24"/>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attachedTemplate r:id="rId1"/>
  <w:documentProtection w:edit="forms" w:enforcement="1" w:cryptProviderType="rsaAES" w:cryptAlgorithmClass="hash" w:cryptAlgorithmType="typeAny" w:cryptAlgorithmSid="14" w:cryptSpinCount="100000" w:hash="73ONFz+eFGY+GNJS68zNwzyuFb4c8OBRFOwXk/lVfrCagjqTAUSACpET2OGS8iMZ62w8FEf3MkJ5vW5arU89Iw==" w:salt="pMcWUE6/rqdI8MGbTFmo1w=="/>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25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36B"/>
    <w:rsid w:val="00041492"/>
    <w:rsid w:val="0004249A"/>
    <w:rsid w:val="00043282"/>
    <w:rsid w:val="00044286"/>
    <w:rsid w:val="00047F28"/>
    <w:rsid w:val="000503AA"/>
    <w:rsid w:val="000506A1"/>
    <w:rsid w:val="000515DD"/>
    <w:rsid w:val="0005265A"/>
    <w:rsid w:val="000539DD"/>
    <w:rsid w:val="00053BD3"/>
    <w:rsid w:val="000556ED"/>
    <w:rsid w:val="00055B50"/>
    <w:rsid w:val="00055FE2"/>
    <w:rsid w:val="0005616F"/>
    <w:rsid w:val="00060C2E"/>
    <w:rsid w:val="00061033"/>
    <w:rsid w:val="000619E9"/>
    <w:rsid w:val="000622D4"/>
    <w:rsid w:val="00062A8E"/>
    <w:rsid w:val="0006357D"/>
    <w:rsid w:val="00067F1E"/>
    <w:rsid w:val="00071CC0"/>
    <w:rsid w:val="00071CFC"/>
    <w:rsid w:val="00071E4D"/>
    <w:rsid w:val="00073C8C"/>
    <w:rsid w:val="00077B64"/>
    <w:rsid w:val="00080A1C"/>
    <w:rsid w:val="00082317"/>
    <w:rsid w:val="00083D2C"/>
    <w:rsid w:val="00086AA1"/>
    <w:rsid w:val="00087A77"/>
    <w:rsid w:val="00087F82"/>
    <w:rsid w:val="00090CA6"/>
    <w:rsid w:val="00092B8A"/>
    <w:rsid w:val="00092FB0"/>
    <w:rsid w:val="000934C5"/>
    <w:rsid w:val="00093D25"/>
    <w:rsid w:val="00093DAB"/>
    <w:rsid w:val="00094D73"/>
    <w:rsid w:val="00096D63"/>
    <w:rsid w:val="000A0B60"/>
    <w:rsid w:val="000A0EB8"/>
    <w:rsid w:val="000A19FC"/>
    <w:rsid w:val="000A296B"/>
    <w:rsid w:val="000A3252"/>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603"/>
    <w:rsid w:val="00124E4F"/>
    <w:rsid w:val="0012549D"/>
    <w:rsid w:val="001260B7"/>
    <w:rsid w:val="001265CB"/>
    <w:rsid w:val="00131BB6"/>
    <w:rsid w:val="001321C6"/>
    <w:rsid w:val="001325C4"/>
    <w:rsid w:val="00133010"/>
    <w:rsid w:val="001338EE"/>
    <w:rsid w:val="00133AAE"/>
    <w:rsid w:val="00135323"/>
    <w:rsid w:val="001356C4"/>
    <w:rsid w:val="00137565"/>
    <w:rsid w:val="00141114"/>
    <w:rsid w:val="001417F8"/>
    <w:rsid w:val="00142969"/>
    <w:rsid w:val="00144262"/>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A20"/>
    <w:rsid w:val="00181638"/>
    <w:rsid w:val="001852C9"/>
    <w:rsid w:val="00187A0B"/>
    <w:rsid w:val="00190087"/>
    <w:rsid w:val="001913C4"/>
    <w:rsid w:val="0019348F"/>
    <w:rsid w:val="00193A07"/>
    <w:rsid w:val="00194C95"/>
    <w:rsid w:val="00194F97"/>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9B6"/>
    <w:rsid w:val="001E1B6A"/>
    <w:rsid w:val="001E1CAC"/>
    <w:rsid w:val="001E2484"/>
    <w:rsid w:val="001E3CC4"/>
    <w:rsid w:val="001E448C"/>
    <w:rsid w:val="001E4882"/>
    <w:rsid w:val="001E73AB"/>
    <w:rsid w:val="001F092D"/>
    <w:rsid w:val="001F143A"/>
    <w:rsid w:val="001F1605"/>
    <w:rsid w:val="001F2508"/>
    <w:rsid w:val="001F4776"/>
    <w:rsid w:val="001F4816"/>
    <w:rsid w:val="001F69B4"/>
    <w:rsid w:val="001F77C7"/>
    <w:rsid w:val="00200183"/>
    <w:rsid w:val="00200333"/>
    <w:rsid w:val="0020107D"/>
    <w:rsid w:val="00202AA4"/>
    <w:rsid w:val="002031F7"/>
    <w:rsid w:val="002040E6"/>
    <w:rsid w:val="0020527B"/>
    <w:rsid w:val="00205F2C"/>
    <w:rsid w:val="00207235"/>
    <w:rsid w:val="00210B15"/>
    <w:rsid w:val="002142EA"/>
    <w:rsid w:val="00215ADD"/>
    <w:rsid w:val="002169FC"/>
    <w:rsid w:val="002204BB"/>
    <w:rsid w:val="00221B79"/>
    <w:rsid w:val="00221C6B"/>
    <w:rsid w:val="002253A1"/>
    <w:rsid w:val="00225CF8"/>
    <w:rsid w:val="0022794E"/>
    <w:rsid w:val="00233D64"/>
    <w:rsid w:val="0023482A"/>
    <w:rsid w:val="002359CB"/>
    <w:rsid w:val="002415A2"/>
    <w:rsid w:val="002431C4"/>
    <w:rsid w:val="00243540"/>
    <w:rsid w:val="0024497B"/>
    <w:rsid w:val="0024515B"/>
    <w:rsid w:val="00246021"/>
    <w:rsid w:val="0024666E"/>
    <w:rsid w:val="002476DD"/>
    <w:rsid w:val="00247F52"/>
    <w:rsid w:val="00250B25"/>
    <w:rsid w:val="00250BBE"/>
    <w:rsid w:val="0025144C"/>
    <w:rsid w:val="002515C2"/>
    <w:rsid w:val="0025194F"/>
    <w:rsid w:val="002558B4"/>
    <w:rsid w:val="00255993"/>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7C0A"/>
    <w:rsid w:val="00292A2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C4D"/>
    <w:rsid w:val="002D6EC6"/>
    <w:rsid w:val="002D79AC"/>
    <w:rsid w:val="002E039D"/>
    <w:rsid w:val="002E4D5A"/>
    <w:rsid w:val="002E6326"/>
    <w:rsid w:val="002F2AEF"/>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B7"/>
    <w:rsid w:val="003938D9"/>
    <w:rsid w:val="00394376"/>
    <w:rsid w:val="003943FF"/>
    <w:rsid w:val="003974EB"/>
    <w:rsid w:val="00397CC5"/>
    <w:rsid w:val="003A11D1"/>
    <w:rsid w:val="003A1582"/>
    <w:rsid w:val="003A3D9C"/>
    <w:rsid w:val="003A4077"/>
    <w:rsid w:val="003A4AA7"/>
    <w:rsid w:val="003B09AD"/>
    <w:rsid w:val="003B1F18"/>
    <w:rsid w:val="003B4448"/>
    <w:rsid w:val="003B5BF0"/>
    <w:rsid w:val="003B60BF"/>
    <w:rsid w:val="003B6BE3"/>
    <w:rsid w:val="003C010C"/>
    <w:rsid w:val="003C0A6C"/>
    <w:rsid w:val="003C0F0D"/>
    <w:rsid w:val="003C14F8"/>
    <w:rsid w:val="003C5A43"/>
    <w:rsid w:val="003D0519"/>
    <w:rsid w:val="003D0FF6"/>
    <w:rsid w:val="003D262C"/>
    <w:rsid w:val="003D44EE"/>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07DBD"/>
    <w:rsid w:val="00413FE4"/>
    <w:rsid w:val="00414690"/>
    <w:rsid w:val="0041477A"/>
    <w:rsid w:val="004167A3"/>
    <w:rsid w:val="00421308"/>
    <w:rsid w:val="00432DAA"/>
    <w:rsid w:val="00434305"/>
    <w:rsid w:val="004345BC"/>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5EBE"/>
    <w:rsid w:val="00481C44"/>
    <w:rsid w:val="00484936"/>
    <w:rsid w:val="00485C89"/>
    <w:rsid w:val="00486BE3"/>
    <w:rsid w:val="004905E4"/>
    <w:rsid w:val="00490A89"/>
    <w:rsid w:val="00490AB4"/>
    <w:rsid w:val="00492F02"/>
    <w:rsid w:val="004939AE"/>
    <w:rsid w:val="004942D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F89"/>
    <w:rsid w:val="004D2253"/>
    <w:rsid w:val="004D4406"/>
    <w:rsid w:val="004D7C42"/>
    <w:rsid w:val="004D7EEE"/>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6D9"/>
    <w:rsid w:val="00505767"/>
    <w:rsid w:val="005073F0"/>
    <w:rsid w:val="00510A7B"/>
    <w:rsid w:val="00512F6E"/>
    <w:rsid w:val="00513038"/>
    <w:rsid w:val="00514174"/>
    <w:rsid w:val="00516088"/>
    <w:rsid w:val="00516B0B"/>
    <w:rsid w:val="0051796D"/>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CBD"/>
    <w:rsid w:val="005479DA"/>
    <w:rsid w:val="00547BCC"/>
    <w:rsid w:val="0055013B"/>
    <w:rsid w:val="00551802"/>
    <w:rsid w:val="00551F6F"/>
    <w:rsid w:val="00555044"/>
    <w:rsid w:val="00555449"/>
    <w:rsid w:val="00561475"/>
    <w:rsid w:val="00562308"/>
    <w:rsid w:val="0056487B"/>
    <w:rsid w:val="00564FB9"/>
    <w:rsid w:val="00573D9E"/>
    <w:rsid w:val="00580027"/>
    <w:rsid w:val="005801E3"/>
    <w:rsid w:val="00581802"/>
    <w:rsid w:val="005836A8"/>
    <w:rsid w:val="0058409C"/>
    <w:rsid w:val="00584262"/>
    <w:rsid w:val="00586630"/>
    <w:rsid w:val="00587214"/>
    <w:rsid w:val="00587ADD"/>
    <w:rsid w:val="00593A49"/>
    <w:rsid w:val="00596160"/>
    <w:rsid w:val="005966E2"/>
    <w:rsid w:val="00596997"/>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1418"/>
    <w:rsid w:val="005D4171"/>
    <w:rsid w:val="005D6A95"/>
    <w:rsid w:val="005D6B2C"/>
    <w:rsid w:val="005D6D9C"/>
    <w:rsid w:val="005E2335"/>
    <w:rsid w:val="005E34CA"/>
    <w:rsid w:val="005E3C18"/>
    <w:rsid w:val="005E4250"/>
    <w:rsid w:val="005E6812"/>
    <w:rsid w:val="005E7881"/>
    <w:rsid w:val="005E78E0"/>
    <w:rsid w:val="005F0D9C"/>
    <w:rsid w:val="005F284E"/>
    <w:rsid w:val="005F60CD"/>
    <w:rsid w:val="005F610E"/>
    <w:rsid w:val="006015CE"/>
    <w:rsid w:val="00604784"/>
    <w:rsid w:val="00606419"/>
    <w:rsid w:val="00607D29"/>
    <w:rsid w:val="00612952"/>
    <w:rsid w:val="006142B4"/>
    <w:rsid w:val="00614CC1"/>
    <w:rsid w:val="00615A9D"/>
    <w:rsid w:val="00617387"/>
    <w:rsid w:val="006177BB"/>
    <w:rsid w:val="00617906"/>
    <w:rsid w:val="006205D6"/>
    <w:rsid w:val="006252D8"/>
    <w:rsid w:val="006259BC"/>
    <w:rsid w:val="0062636B"/>
    <w:rsid w:val="0063018F"/>
    <w:rsid w:val="00632182"/>
    <w:rsid w:val="00632294"/>
    <w:rsid w:val="00632AE0"/>
    <w:rsid w:val="00633C17"/>
    <w:rsid w:val="00634D9E"/>
    <w:rsid w:val="00635498"/>
    <w:rsid w:val="00636E3E"/>
    <w:rsid w:val="006379F7"/>
    <w:rsid w:val="00637E4D"/>
    <w:rsid w:val="00640620"/>
    <w:rsid w:val="0064177F"/>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067"/>
    <w:rsid w:val="006816A4"/>
    <w:rsid w:val="006819B8"/>
    <w:rsid w:val="006840A6"/>
    <w:rsid w:val="006850CD"/>
    <w:rsid w:val="0068579B"/>
    <w:rsid w:val="00685AAB"/>
    <w:rsid w:val="00693962"/>
    <w:rsid w:val="00696825"/>
    <w:rsid w:val="006A07AA"/>
    <w:rsid w:val="006A16F6"/>
    <w:rsid w:val="006A25E5"/>
    <w:rsid w:val="006A2B46"/>
    <w:rsid w:val="006A336D"/>
    <w:rsid w:val="006A37B9"/>
    <w:rsid w:val="006B2672"/>
    <w:rsid w:val="006B54BF"/>
    <w:rsid w:val="006B5754"/>
    <w:rsid w:val="006B5F44"/>
    <w:rsid w:val="006B5F90"/>
    <w:rsid w:val="006B62E4"/>
    <w:rsid w:val="006C1BBA"/>
    <w:rsid w:val="006C2079"/>
    <w:rsid w:val="006C3BF5"/>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0CC1"/>
    <w:rsid w:val="00704387"/>
    <w:rsid w:val="00707669"/>
    <w:rsid w:val="00711CBA"/>
    <w:rsid w:val="00711FB5"/>
    <w:rsid w:val="00712A01"/>
    <w:rsid w:val="00714F58"/>
    <w:rsid w:val="0071709E"/>
    <w:rsid w:val="00717D87"/>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99E"/>
    <w:rsid w:val="0078114B"/>
    <w:rsid w:val="00781A5D"/>
    <w:rsid w:val="00781DD2"/>
    <w:rsid w:val="00783ECF"/>
    <w:rsid w:val="0078413A"/>
    <w:rsid w:val="00784D31"/>
    <w:rsid w:val="007876AE"/>
    <w:rsid w:val="007959E8"/>
    <w:rsid w:val="00795E9C"/>
    <w:rsid w:val="007A0521"/>
    <w:rsid w:val="007A2E12"/>
    <w:rsid w:val="007A3475"/>
    <w:rsid w:val="007A41C8"/>
    <w:rsid w:val="007A54CE"/>
    <w:rsid w:val="007A5D3A"/>
    <w:rsid w:val="007A6FD9"/>
    <w:rsid w:val="007A7FFA"/>
    <w:rsid w:val="007B04EB"/>
    <w:rsid w:val="007B0D4F"/>
    <w:rsid w:val="007B3C32"/>
    <w:rsid w:val="007B5A3D"/>
    <w:rsid w:val="007B5B19"/>
    <w:rsid w:val="007B5B95"/>
    <w:rsid w:val="007B6032"/>
    <w:rsid w:val="007B68EA"/>
    <w:rsid w:val="007B70A0"/>
    <w:rsid w:val="007B7453"/>
    <w:rsid w:val="007C2D89"/>
    <w:rsid w:val="007C4593"/>
    <w:rsid w:val="007C5309"/>
    <w:rsid w:val="007C6069"/>
    <w:rsid w:val="007D06C4"/>
    <w:rsid w:val="007D1352"/>
    <w:rsid w:val="007D2508"/>
    <w:rsid w:val="007D346A"/>
    <w:rsid w:val="007D6518"/>
    <w:rsid w:val="007D72BC"/>
    <w:rsid w:val="007D76BD"/>
    <w:rsid w:val="007E0BF1"/>
    <w:rsid w:val="007F0ED8"/>
    <w:rsid w:val="007F0F63"/>
    <w:rsid w:val="007F1124"/>
    <w:rsid w:val="007F1221"/>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451F"/>
    <w:rsid w:val="00825138"/>
    <w:rsid w:val="008269DD"/>
    <w:rsid w:val="00830621"/>
    <w:rsid w:val="0083348C"/>
    <w:rsid w:val="008373D3"/>
    <w:rsid w:val="00840617"/>
    <w:rsid w:val="00840F84"/>
    <w:rsid w:val="00842593"/>
    <w:rsid w:val="00842A47"/>
    <w:rsid w:val="00843C13"/>
    <w:rsid w:val="00843DEF"/>
    <w:rsid w:val="008454F8"/>
    <w:rsid w:val="0085173A"/>
    <w:rsid w:val="008603CE"/>
    <w:rsid w:val="008620FC"/>
    <w:rsid w:val="008627A5"/>
    <w:rsid w:val="00863E05"/>
    <w:rsid w:val="00863F64"/>
    <w:rsid w:val="00865ACA"/>
    <w:rsid w:val="00865D28"/>
    <w:rsid w:val="00865F85"/>
    <w:rsid w:val="00867C10"/>
    <w:rsid w:val="00870439"/>
    <w:rsid w:val="00870DA1"/>
    <w:rsid w:val="008806A6"/>
    <w:rsid w:val="00883F93"/>
    <w:rsid w:val="00884DB3"/>
    <w:rsid w:val="00885A9D"/>
    <w:rsid w:val="008864F6"/>
    <w:rsid w:val="0089049D"/>
    <w:rsid w:val="008928C9"/>
    <w:rsid w:val="008930CB"/>
    <w:rsid w:val="008938DC"/>
    <w:rsid w:val="00893FD1"/>
    <w:rsid w:val="00894836"/>
    <w:rsid w:val="00895172"/>
    <w:rsid w:val="00895680"/>
    <w:rsid w:val="00896AE1"/>
    <w:rsid w:val="00896DFF"/>
    <w:rsid w:val="0089762C"/>
    <w:rsid w:val="008A173B"/>
    <w:rsid w:val="008A1893"/>
    <w:rsid w:val="008A57E6"/>
    <w:rsid w:val="008A6F81"/>
    <w:rsid w:val="008A769A"/>
    <w:rsid w:val="008B0C9C"/>
    <w:rsid w:val="008B166D"/>
    <w:rsid w:val="008B17F4"/>
    <w:rsid w:val="008B3615"/>
    <w:rsid w:val="008B3F6B"/>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2E4"/>
    <w:rsid w:val="008F17A3"/>
    <w:rsid w:val="008F1ED3"/>
    <w:rsid w:val="008F4C29"/>
    <w:rsid w:val="008F70BD"/>
    <w:rsid w:val="008F788F"/>
    <w:rsid w:val="008F7EA2"/>
    <w:rsid w:val="00902722"/>
    <w:rsid w:val="009027BC"/>
    <w:rsid w:val="00905D9C"/>
    <w:rsid w:val="009062E6"/>
    <w:rsid w:val="00911BE5"/>
    <w:rsid w:val="00913CA9"/>
    <w:rsid w:val="009145AE"/>
    <w:rsid w:val="009146CE"/>
    <w:rsid w:val="00914CA7"/>
    <w:rsid w:val="00915C3E"/>
    <w:rsid w:val="00916032"/>
    <w:rsid w:val="009161A8"/>
    <w:rsid w:val="009245AE"/>
    <w:rsid w:val="009245F5"/>
    <w:rsid w:val="009249EC"/>
    <w:rsid w:val="009273B3"/>
    <w:rsid w:val="009305B5"/>
    <w:rsid w:val="009315AD"/>
    <w:rsid w:val="009378DD"/>
    <w:rsid w:val="009429D5"/>
    <w:rsid w:val="00942BF1"/>
    <w:rsid w:val="00945180"/>
    <w:rsid w:val="00945428"/>
    <w:rsid w:val="0094607B"/>
    <w:rsid w:val="00953604"/>
    <w:rsid w:val="0095496B"/>
    <w:rsid w:val="00960F1E"/>
    <w:rsid w:val="009610DC"/>
    <w:rsid w:val="00961490"/>
    <w:rsid w:val="0096381A"/>
    <w:rsid w:val="0096439D"/>
    <w:rsid w:val="00964A1A"/>
    <w:rsid w:val="00965E04"/>
    <w:rsid w:val="009674AD"/>
    <w:rsid w:val="00970CDC"/>
    <w:rsid w:val="00975727"/>
    <w:rsid w:val="00976675"/>
    <w:rsid w:val="00977010"/>
    <w:rsid w:val="00977D02"/>
    <w:rsid w:val="00977FF9"/>
    <w:rsid w:val="009809BB"/>
    <w:rsid w:val="0098364B"/>
    <w:rsid w:val="009908A3"/>
    <w:rsid w:val="009911AF"/>
    <w:rsid w:val="00991875"/>
    <w:rsid w:val="00991F92"/>
    <w:rsid w:val="00992985"/>
    <w:rsid w:val="00993889"/>
    <w:rsid w:val="0099539F"/>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1DB7"/>
    <w:rsid w:val="009F446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1BE"/>
    <w:rsid w:val="00A723F8"/>
    <w:rsid w:val="00A74417"/>
    <w:rsid w:val="00A77CCB"/>
    <w:rsid w:val="00A83D8D"/>
    <w:rsid w:val="00A8446B"/>
    <w:rsid w:val="00A8473F"/>
    <w:rsid w:val="00A862D6"/>
    <w:rsid w:val="00A8715E"/>
    <w:rsid w:val="00A9295B"/>
    <w:rsid w:val="00A92FBF"/>
    <w:rsid w:val="00A93B09"/>
    <w:rsid w:val="00A952D7"/>
    <w:rsid w:val="00A963F7"/>
    <w:rsid w:val="00A96AD8"/>
    <w:rsid w:val="00AA052C"/>
    <w:rsid w:val="00AA1E45"/>
    <w:rsid w:val="00AA4286"/>
    <w:rsid w:val="00AA456B"/>
    <w:rsid w:val="00AA57F5"/>
    <w:rsid w:val="00AA672E"/>
    <w:rsid w:val="00AA6EC9"/>
    <w:rsid w:val="00AA7F8F"/>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3916"/>
    <w:rsid w:val="00AE5EB4"/>
    <w:rsid w:val="00AF0C18"/>
    <w:rsid w:val="00AF39E8"/>
    <w:rsid w:val="00AF47C5"/>
    <w:rsid w:val="00AF5398"/>
    <w:rsid w:val="00B049AF"/>
    <w:rsid w:val="00B07242"/>
    <w:rsid w:val="00B10534"/>
    <w:rsid w:val="00B113DB"/>
    <w:rsid w:val="00B11D8A"/>
    <w:rsid w:val="00B12981"/>
    <w:rsid w:val="00B147DD"/>
    <w:rsid w:val="00B156FD"/>
    <w:rsid w:val="00B16EA3"/>
    <w:rsid w:val="00B21F61"/>
    <w:rsid w:val="00B261F1"/>
    <w:rsid w:val="00B265BC"/>
    <w:rsid w:val="00B31FB1"/>
    <w:rsid w:val="00B33952"/>
    <w:rsid w:val="00B33C5E"/>
    <w:rsid w:val="00B342F4"/>
    <w:rsid w:val="00B34369"/>
    <w:rsid w:val="00B34DC2"/>
    <w:rsid w:val="00B35498"/>
    <w:rsid w:val="00B378E5"/>
    <w:rsid w:val="00B4346D"/>
    <w:rsid w:val="00B440F4"/>
    <w:rsid w:val="00B447A5"/>
    <w:rsid w:val="00B4654C"/>
    <w:rsid w:val="00B47293"/>
    <w:rsid w:val="00B50E50"/>
    <w:rsid w:val="00B52120"/>
    <w:rsid w:val="00B54ABC"/>
    <w:rsid w:val="00B56FBE"/>
    <w:rsid w:val="00B56FF2"/>
    <w:rsid w:val="00B60ACF"/>
    <w:rsid w:val="00B62B58"/>
    <w:rsid w:val="00B65149"/>
    <w:rsid w:val="00B66567"/>
    <w:rsid w:val="00B66F52"/>
    <w:rsid w:val="00B66FE5"/>
    <w:rsid w:val="00B72880"/>
    <w:rsid w:val="00B758BF"/>
    <w:rsid w:val="00B77EC8"/>
    <w:rsid w:val="00B827A6"/>
    <w:rsid w:val="00B831CE"/>
    <w:rsid w:val="00B86677"/>
    <w:rsid w:val="00B87131"/>
    <w:rsid w:val="00B92585"/>
    <w:rsid w:val="00B939B1"/>
    <w:rsid w:val="00B96D40"/>
    <w:rsid w:val="00B97386"/>
    <w:rsid w:val="00BA263B"/>
    <w:rsid w:val="00BA42B2"/>
    <w:rsid w:val="00BA58D4"/>
    <w:rsid w:val="00BA5B9E"/>
    <w:rsid w:val="00BA7C9A"/>
    <w:rsid w:val="00BB5F8F"/>
    <w:rsid w:val="00BB657A"/>
    <w:rsid w:val="00BC1A4E"/>
    <w:rsid w:val="00BC207B"/>
    <w:rsid w:val="00BC4245"/>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041"/>
    <w:rsid w:val="00C34C20"/>
    <w:rsid w:val="00C35A3E"/>
    <w:rsid w:val="00C42130"/>
    <w:rsid w:val="00C423A4"/>
    <w:rsid w:val="00C423E3"/>
    <w:rsid w:val="00C44BF5"/>
    <w:rsid w:val="00C46304"/>
    <w:rsid w:val="00C521D6"/>
    <w:rsid w:val="00C55232"/>
    <w:rsid w:val="00C553A4"/>
    <w:rsid w:val="00C55A06"/>
    <w:rsid w:val="00C55D03"/>
    <w:rsid w:val="00C601BC"/>
    <w:rsid w:val="00C6329F"/>
    <w:rsid w:val="00C63340"/>
    <w:rsid w:val="00C63802"/>
    <w:rsid w:val="00C643F9"/>
    <w:rsid w:val="00C64E95"/>
    <w:rsid w:val="00C704C8"/>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4D1B"/>
    <w:rsid w:val="00CA662A"/>
    <w:rsid w:val="00CA7AFD"/>
    <w:rsid w:val="00CA7C3C"/>
    <w:rsid w:val="00CB0189"/>
    <w:rsid w:val="00CB0BA2"/>
    <w:rsid w:val="00CB1A42"/>
    <w:rsid w:val="00CB1B0C"/>
    <w:rsid w:val="00CB2BAF"/>
    <w:rsid w:val="00CB2C0B"/>
    <w:rsid w:val="00CB517D"/>
    <w:rsid w:val="00CB54E9"/>
    <w:rsid w:val="00CC038D"/>
    <w:rsid w:val="00CC08DB"/>
    <w:rsid w:val="00CC39FF"/>
    <w:rsid w:val="00CC3C2F"/>
    <w:rsid w:val="00CC4AC8"/>
    <w:rsid w:val="00CC5233"/>
    <w:rsid w:val="00CC5DE6"/>
    <w:rsid w:val="00CC6E4E"/>
    <w:rsid w:val="00CC6FE8"/>
    <w:rsid w:val="00CC7202"/>
    <w:rsid w:val="00CD2808"/>
    <w:rsid w:val="00CD28BF"/>
    <w:rsid w:val="00CD369F"/>
    <w:rsid w:val="00CD4092"/>
    <w:rsid w:val="00CD4A20"/>
    <w:rsid w:val="00CD50A1"/>
    <w:rsid w:val="00CD519E"/>
    <w:rsid w:val="00CE0C4F"/>
    <w:rsid w:val="00CE30EA"/>
    <w:rsid w:val="00CF048A"/>
    <w:rsid w:val="00CF155A"/>
    <w:rsid w:val="00CF2947"/>
    <w:rsid w:val="00CF686F"/>
    <w:rsid w:val="00CF6E60"/>
    <w:rsid w:val="00CF7BCA"/>
    <w:rsid w:val="00D008FD"/>
    <w:rsid w:val="00D00994"/>
    <w:rsid w:val="00D0321C"/>
    <w:rsid w:val="00D035EC"/>
    <w:rsid w:val="00D06AB1"/>
    <w:rsid w:val="00D06B7F"/>
    <w:rsid w:val="00D06FC1"/>
    <w:rsid w:val="00D072ED"/>
    <w:rsid w:val="00D07A16"/>
    <w:rsid w:val="00D1067E"/>
    <w:rsid w:val="00D10F50"/>
    <w:rsid w:val="00D11272"/>
    <w:rsid w:val="00D1232C"/>
    <w:rsid w:val="00D126F5"/>
    <w:rsid w:val="00D1489E"/>
    <w:rsid w:val="00D20737"/>
    <w:rsid w:val="00D21E81"/>
    <w:rsid w:val="00D223DE"/>
    <w:rsid w:val="00D25E37"/>
    <w:rsid w:val="00D2661A"/>
    <w:rsid w:val="00D27582"/>
    <w:rsid w:val="00D27EC4"/>
    <w:rsid w:val="00D32719"/>
    <w:rsid w:val="00D33333"/>
    <w:rsid w:val="00D352A2"/>
    <w:rsid w:val="00D372E3"/>
    <w:rsid w:val="00D4162B"/>
    <w:rsid w:val="00D4514F"/>
    <w:rsid w:val="00D451E2"/>
    <w:rsid w:val="00D45E89"/>
    <w:rsid w:val="00D45E8D"/>
    <w:rsid w:val="00D466AE"/>
    <w:rsid w:val="00D4734F"/>
    <w:rsid w:val="00D51BF3"/>
    <w:rsid w:val="00D51DA4"/>
    <w:rsid w:val="00D66846"/>
    <w:rsid w:val="00D675FB"/>
    <w:rsid w:val="00D71F25"/>
    <w:rsid w:val="00D72908"/>
    <w:rsid w:val="00D72A9C"/>
    <w:rsid w:val="00D77031"/>
    <w:rsid w:val="00D84941"/>
    <w:rsid w:val="00D84FA1"/>
    <w:rsid w:val="00D851F0"/>
    <w:rsid w:val="00D86DB7"/>
    <w:rsid w:val="00D87BF5"/>
    <w:rsid w:val="00D90721"/>
    <w:rsid w:val="00D91CF3"/>
    <w:rsid w:val="00D926D0"/>
    <w:rsid w:val="00D93030"/>
    <w:rsid w:val="00D950E1"/>
    <w:rsid w:val="00D952A6"/>
    <w:rsid w:val="00D97F99"/>
    <w:rsid w:val="00DA16A1"/>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D7540"/>
    <w:rsid w:val="00DE0A4B"/>
    <w:rsid w:val="00DE2410"/>
    <w:rsid w:val="00DE2939"/>
    <w:rsid w:val="00DE3E0F"/>
    <w:rsid w:val="00DE6E81"/>
    <w:rsid w:val="00DE703F"/>
    <w:rsid w:val="00DE7595"/>
    <w:rsid w:val="00DF1961"/>
    <w:rsid w:val="00DF44DE"/>
    <w:rsid w:val="00DF5C13"/>
    <w:rsid w:val="00E01138"/>
    <w:rsid w:val="00E02DFB"/>
    <w:rsid w:val="00E030F9"/>
    <w:rsid w:val="00E0311A"/>
    <w:rsid w:val="00E03138"/>
    <w:rsid w:val="00E05E10"/>
    <w:rsid w:val="00E06404"/>
    <w:rsid w:val="00E106F6"/>
    <w:rsid w:val="00E11A85"/>
    <w:rsid w:val="00E12495"/>
    <w:rsid w:val="00E15CCD"/>
    <w:rsid w:val="00E202EF"/>
    <w:rsid w:val="00E210B5"/>
    <w:rsid w:val="00E2552F"/>
    <w:rsid w:val="00E266E4"/>
    <w:rsid w:val="00E3137A"/>
    <w:rsid w:val="00E32CCF"/>
    <w:rsid w:val="00E34A98"/>
    <w:rsid w:val="00E35D1E"/>
    <w:rsid w:val="00E364F9"/>
    <w:rsid w:val="00E365FA"/>
    <w:rsid w:val="00E36789"/>
    <w:rsid w:val="00E41BDB"/>
    <w:rsid w:val="00E44A83"/>
    <w:rsid w:val="00E502C1"/>
    <w:rsid w:val="00E502DD"/>
    <w:rsid w:val="00E50D3A"/>
    <w:rsid w:val="00E51387"/>
    <w:rsid w:val="00E51E68"/>
    <w:rsid w:val="00E52EFD"/>
    <w:rsid w:val="00E5408A"/>
    <w:rsid w:val="00E564BD"/>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135"/>
    <w:rsid w:val="00E934D1"/>
    <w:rsid w:val="00E94AF0"/>
    <w:rsid w:val="00E95D13"/>
    <w:rsid w:val="00E95DD3"/>
    <w:rsid w:val="00E969D5"/>
    <w:rsid w:val="00EA58D1"/>
    <w:rsid w:val="00EA61BC"/>
    <w:rsid w:val="00EA681A"/>
    <w:rsid w:val="00EA735B"/>
    <w:rsid w:val="00EA7A7F"/>
    <w:rsid w:val="00EB1E69"/>
    <w:rsid w:val="00EB2086"/>
    <w:rsid w:val="00EB31ED"/>
    <w:rsid w:val="00EB5EDF"/>
    <w:rsid w:val="00EB60FE"/>
    <w:rsid w:val="00EB74DB"/>
    <w:rsid w:val="00EC5359"/>
    <w:rsid w:val="00EC562A"/>
    <w:rsid w:val="00EC621C"/>
    <w:rsid w:val="00ED067A"/>
    <w:rsid w:val="00ED28CA"/>
    <w:rsid w:val="00ED2B50"/>
    <w:rsid w:val="00EE0350"/>
    <w:rsid w:val="00EE0719"/>
    <w:rsid w:val="00EE0E80"/>
    <w:rsid w:val="00EE613F"/>
    <w:rsid w:val="00EE7295"/>
    <w:rsid w:val="00EE7869"/>
    <w:rsid w:val="00EF054A"/>
    <w:rsid w:val="00EF3235"/>
    <w:rsid w:val="00EF7E72"/>
    <w:rsid w:val="00F02ED3"/>
    <w:rsid w:val="00F06D37"/>
    <w:rsid w:val="00F07B9D"/>
    <w:rsid w:val="00F11586"/>
    <w:rsid w:val="00F1183B"/>
    <w:rsid w:val="00F11C9F"/>
    <w:rsid w:val="00F12263"/>
    <w:rsid w:val="00F1409D"/>
    <w:rsid w:val="00F14214"/>
    <w:rsid w:val="00F157A9"/>
    <w:rsid w:val="00F16F00"/>
    <w:rsid w:val="00F25396"/>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338A"/>
    <w:rsid w:val="00F6412A"/>
    <w:rsid w:val="00F65893"/>
    <w:rsid w:val="00F66273"/>
    <w:rsid w:val="00F66A4A"/>
    <w:rsid w:val="00F71E22"/>
    <w:rsid w:val="00F72142"/>
    <w:rsid w:val="00F72AE7"/>
    <w:rsid w:val="00F747B7"/>
    <w:rsid w:val="00F833BA"/>
    <w:rsid w:val="00F84FD0"/>
    <w:rsid w:val="00F859A8"/>
    <w:rsid w:val="00F86D87"/>
    <w:rsid w:val="00F9108B"/>
    <w:rsid w:val="00F91349"/>
    <w:rsid w:val="00F93A8A"/>
    <w:rsid w:val="00F95248"/>
    <w:rsid w:val="00F956A9"/>
    <w:rsid w:val="00F963ED"/>
    <w:rsid w:val="00F966CF"/>
    <w:rsid w:val="00F96CAE"/>
    <w:rsid w:val="00F97C99"/>
    <w:rsid w:val="00FA3DC7"/>
    <w:rsid w:val="00FA4AA7"/>
    <w:rsid w:val="00FA662D"/>
    <w:rsid w:val="00FA73B1"/>
    <w:rsid w:val="00FB0CB9"/>
    <w:rsid w:val="00FB231D"/>
    <w:rsid w:val="00FB45F1"/>
    <w:rsid w:val="00FB4A72"/>
    <w:rsid w:val="00FB54E8"/>
    <w:rsid w:val="00FB7054"/>
    <w:rsid w:val="00FC17B7"/>
    <w:rsid w:val="00FC2CB7"/>
    <w:rsid w:val="00FC4090"/>
    <w:rsid w:val="00FC55B4"/>
    <w:rsid w:val="00FC5F27"/>
    <w:rsid w:val="00FD00E6"/>
    <w:rsid w:val="00FD09A1"/>
    <w:rsid w:val="00FD1FB8"/>
    <w:rsid w:val="00FD2A7C"/>
    <w:rsid w:val="00FD59EB"/>
    <w:rsid w:val="00FD7299"/>
    <w:rsid w:val="00FE185F"/>
    <w:rsid w:val="00FE1FBE"/>
    <w:rsid w:val="00FE3901"/>
    <w:rsid w:val="00FE39D3"/>
    <w:rsid w:val="00FE426D"/>
    <w:rsid w:val="00FE4BCE"/>
    <w:rsid w:val="00FE54AE"/>
    <w:rsid w:val="00FE576A"/>
    <w:rsid w:val="00FE7E79"/>
    <w:rsid w:val="00FF1B70"/>
    <w:rsid w:val="00FF3E7D"/>
    <w:rsid w:val="00FF5B99"/>
    <w:rsid w:val="00FF730C"/>
    <w:rsid w:val="00FF73F4"/>
    <w:rsid w:val="00FF7CE4"/>
    <w:rsid w:val="00FF7E39"/>
    <w:rsid w:val="05D46FF5"/>
    <w:rsid w:val="0644467D"/>
    <w:rsid w:val="082F4AD6"/>
    <w:rsid w:val="0C952ECE"/>
    <w:rsid w:val="0D9261EE"/>
    <w:rsid w:val="105657F3"/>
    <w:rsid w:val="10AF57BE"/>
    <w:rsid w:val="14426770"/>
    <w:rsid w:val="14CD189D"/>
    <w:rsid w:val="18374F40"/>
    <w:rsid w:val="1B393673"/>
    <w:rsid w:val="2235710E"/>
    <w:rsid w:val="25F924A7"/>
    <w:rsid w:val="28C07188"/>
    <w:rsid w:val="2ADD0E5A"/>
    <w:rsid w:val="2F3F7252"/>
    <w:rsid w:val="303A20E7"/>
    <w:rsid w:val="336F096F"/>
    <w:rsid w:val="34CA7190"/>
    <w:rsid w:val="36601B42"/>
    <w:rsid w:val="38B32460"/>
    <w:rsid w:val="39A409AB"/>
    <w:rsid w:val="424F573D"/>
    <w:rsid w:val="445A4DB7"/>
    <w:rsid w:val="4526238C"/>
    <w:rsid w:val="5CFA4741"/>
    <w:rsid w:val="629D5DF7"/>
    <w:rsid w:val="66546D57"/>
    <w:rsid w:val="673A67EA"/>
    <w:rsid w:val="78B45036"/>
    <w:rsid w:val="7C997E19"/>
    <w:rsid w:val="7D543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9"/>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toc 8"/>
    <w:basedOn w:val="1"/>
    <w:next w:val="1"/>
    <w:autoRedefine/>
    <w:unhideWhenUsed/>
    <w:qFormat/>
    <w:uiPriority w:val="39"/>
    <w:pPr>
      <w:adjustRightInd/>
      <w:spacing w:after="160" w:line="278" w:lineRule="auto"/>
      <w:ind w:left="2940" w:leftChars="1400"/>
      <w:jc w:val="left"/>
    </w:pPr>
    <w:rPr>
      <w:rFonts w:asciiTheme="minorHAnsi" w:hAnsiTheme="minorHAnsi" w:eastAsiaTheme="minorEastAsia" w:cstheme="minorBidi"/>
      <w:sz w:val="22"/>
      <w:szCs w:val="24"/>
      <w14:ligatures w14:val="standardContextual"/>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oc 9"/>
    <w:basedOn w:val="1"/>
    <w:next w:val="1"/>
    <w:autoRedefine/>
    <w:unhideWhenUsed/>
    <w:qFormat/>
    <w:uiPriority w:val="39"/>
    <w:pPr>
      <w:adjustRightInd/>
      <w:spacing w:after="160" w:line="278" w:lineRule="auto"/>
      <w:ind w:left="3360" w:leftChars="1600"/>
      <w:jc w:val="left"/>
    </w:pPr>
    <w:rPr>
      <w:rFonts w:asciiTheme="minorHAnsi" w:hAnsiTheme="minorHAnsi" w:eastAsiaTheme="minorEastAsia" w:cstheme="minorBidi"/>
      <w:sz w:val="22"/>
      <w:szCs w:val="24"/>
      <w14:ligatures w14:val="standardContextual"/>
    </w:rPr>
  </w:style>
  <w:style w:type="paragraph" w:styleId="27">
    <w:name w:val="Normal (Web)"/>
    <w:basedOn w:val="1"/>
    <w:unhideWhenUsed/>
    <w:qFormat/>
    <w:uiPriority w:val="0"/>
    <w:rPr>
      <w:rFonts w:ascii="Times New Roman" w:hAnsi="Times New Roman"/>
      <w:sz w:val="24"/>
      <w:szCs w:val="24"/>
    </w:rPr>
  </w:style>
  <w:style w:type="paragraph" w:styleId="28">
    <w:name w:val="Title"/>
    <w:basedOn w:val="1"/>
    <w:link w:val="51"/>
    <w:qFormat/>
    <w:uiPriority w:val="0"/>
    <w:pPr>
      <w:spacing w:before="240" w:after="60"/>
      <w:jc w:val="center"/>
      <w:outlineLvl w:val="0"/>
    </w:pPr>
    <w:rPr>
      <w:rFonts w:ascii="Arial" w:hAnsi="Arial" w:cs="Arial"/>
      <w:b/>
      <w:bCs/>
      <w:sz w:val="32"/>
      <w:szCs w:val="32"/>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8"/>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3"/>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1"/>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1"/>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1"/>
    <w:qFormat/>
    <w:uiPriority w:val="0"/>
    <w:rPr>
      <w:rFonts w:ascii="黑体" w:eastAsia="黑体"/>
      <w:spacing w:val="85"/>
      <w:w w:val="100"/>
      <w:position w:val="3"/>
      <w:sz w:val="28"/>
      <w:szCs w:val="28"/>
    </w:rPr>
  </w:style>
  <w:style w:type="character" w:customStyle="1" w:styleId="233">
    <w:name w:val="15"/>
    <w:basedOn w:val="31"/>
    <w:qFormat/>
    <w:uiPriority w:val="0"/>
    <w:rPr>
      <w:rFonts w:hint="default" w:ascii="Calibri" w:hAnsi="Calibri" w:cs="Calibri"/>
      <w:b/>
      <w:bCs/>
    </w:rPr>
  </w:style>
  <w:style w:type="character" w:customStyle="1" w:styleId="234">
    <w:name w:val="未处理的提及1"/>
    <w:basedOn w:val="31"/>
    <w:semiHidden/>
    <w:unhideWhenUsed/>
    <w:qFormat/>
    <w:uiPriority w:val="99"/>
    <w:rPr>
      <w:color w:val="605E5C"/>
      <w:shd w:val="clear" w:color="auto" w:fill="E1DFDD"/>
    </w:rPr>
  </w:style>
  <w:style w:type="paragraph" w:customStyle="1" w:styleId="235">
    <w:name w:val="段落"/>
    <w:qFormat/>
    <w:uiPriority w:val="0"/>
    <w:pPr>
      <w:autoSpaceDE w:val="0"/>
      <w:autoSpaceDN w:val="0"/>
      <w:ind w:firstLine="420" w:firstLineChars="200"/>
    </w:pPr>
    <w:rPr>
      <w:rFonts w:ascii="宋体" w:hAnsi="Times New Roman" w:eastAsia="宋体" w:cs="Times New Roman"/>
      <w:sz w:val="21"/>
      <w:lang w:val="en-US" w:eastAsia="zh-CN" w:bidi="ar-SA"/>
    </w:rPr>
  </w:style>
  <w:style w:type="paragraph" w:customStyle="1" w:styleId="236">
    <w:name w:val="修订1"/>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C9D4C73F9C44768D0067DB9066A87B"/>
        <w:style w:val=""/>
        <w:category>
          <w:name w:val="常规"/>
          <w:gallery w:val="placeholder"/>
        </w:category>
        <w:types>
          <w:type w:val="bbPlcHdr"/>
        </w:types>
        <w:behaviors>
          <w:behavior w:val="content"/>
        </w:behaviors>
        <w:description w:val=""/>
        <w:guid w:val="{5F1815F9-64E5-4C06-BCE4-EEC7BB1EE3C6}"/>
      </w:docPartPr>
      <w:docPartBody>
        <w:p w14:paraId="29B33726">
          <w:pPr>
            <w:pStyle w:val="5"/>
            <w:rPr>
              <w:rFonts w:hint="eastAsia"/>
            </w:rPr>
          </w:pPr>
          <w:r>
            <w:rPr>
              <w:rStyle w:val="4"/>
              <w:rFonts w:hint="eastAsia"/>
            </w:rPr>
            <w:t>单击或点击此处输入文字。</w:t>
          </w:r>
        </w:p>
      </w:docPartBody>
    </w:docPart>
    <w:docPart>
      <w:docPartPr>
        <w:name w:val="2E36ED7513F44D2B8284A37067569B17"/>
        <w:style w:val=""/>
        <w:category>
          <w:name w:val="常规"/>
          <w:gallery w:val="placeholder"/>
        </w:category>
        <w:types>
          <w:type w:val="bbPlcHdr"/>
        </w:types>
        <w:behaviors>
          <w:behavior w:val="content"/>
        </w:behaviors>
        <w:description w:val=""/>
        <w:guid w:val="{79038D70-B8C4-4950-829C-EEF6780365B6}"/>
      </w:docPartPr>
      <w:docPartBody>
        <w:p w14:paraId="776EAF22">
          <w:pPr>
            <w:pStyle w:val="6"/>
            <w:rPr>
              <w:rFonts w:hint="eastAsia"/>
            </w:rPr>
          </w:pPr>
          <w:r>
            <w:rPr>
              <w:rStyle w:val="4"/>
              <w:rFonts w:hint="eastAsia"/>
            </w:rPr>
            <w:t>选择一项。</w:t>
          </w:r>
        </w:p>
      </w:docPartBody>
    </w:docPart>
    <w:docPart>
      <w:docPartPr>
        <w:name w:val="001378411DFA4ADF99F27FA7A2C21227"/>
        <w:style w:val=""/>
        <w:category>
          <w:name w:val="常规"/>
          <w:gallery w:val="placeholder"/>
        </w:category>
        <w:types>
          <w:type w:val="bbPlcHdr"/>
        </w:types>
        <w:behaviors>
          <w:behavior w:val="content"/>
        </w:behaviors>
        <w:description w:val=""/>
        <w:guid w:val="{ABB19557-5A9D-4993-B448-1C5A82BB75AB}"/>
      </w:docPartPr>
      <w:docPartBody>
        <w:p w14:paraId="5DEDC322">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380"/>
    <w:rsid w:val="000E4609"/>
    <w:rsid w:val="00197380"/>
    <w:rsid w:val="001E762A"/>
    <w:rsid w:val="00205185"/>
    <w:rsid w:val="00287C0A"/>
    <w:rsid w:val="00292A20"/>
    <w:rsid w:val="00635498"/>
    <w:rsid w:val="006A16F6"/>
    <w:rsid w:val="00714889"/>
    <w:rsid w:val="00842593"/>
    <w:rsid w:val="008E035D"/>
    <w:rsid w:val="008E36CE"/>
    <w:rsid w:val="00905D9C"/>
    <w:rsid w:val="00AC1ACC"/>
    <w:rsid w:val="00AD14AC"/>
    <w:rsid w:val="00BC6C34"/>
    <w:rsid w:val="00CE7AFC"/>
    <w:rsid w:val="00DC25EA"/>
    <w:rsid w:val="00E41BDB"/>
    <w:rsid w:val="00EE78EB"/>
    <w:rsid w:val="00F01CB1"/>
    <w:rsid w:val="00FD7840"/>
    <w:rsid w:val="00FE4720"/>
    <w:rsid w:val="00FF2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7C9D4C73F9C44768D0067DB9066A87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2E36ED7513F44D2B8284A37067569B1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001378411DFA4ADF99F27FA7A2C2122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7DA43E-1E4D-4543-887F-91957C2912F8}">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20</Pages>
  <Words>11548</Words>
  <Characters>12326</Characters>
  <Lines>521</Lines>
  <Paragraphs>674</Paragraphs>
  <TotalTime>4</TotalTime>
  <ScaleCrop>false</ScaleCrop>
  <LinksUpToDate>false</LinksUpToDate>
  <CharactersWithSpaces>12651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2025-06-20T03:41:00Z</dcterms:created>
  <dc:creator>mike</dc:creator>
  <dc:description>&lt;config cover="true" show_menu="true" version="1.0.0" doctype="SDKXY"&gt;_x000d_
&lt;/config&gt;</dc:description>
  <cp:lastModifiedBy>吴勇</cp:lastModifiedBy>
  <cp:lastPrinted>2021-02-02T08:22:00Z</cp:lastPrinted>
  <dcterms:modified xsi:type="dcterms:W3CDTF">2025-07-07T09:07:42Z</dcterms:modified>
  <dc:title>团体标准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eyJoZGlkIjoiODIwN2QzZWEyYWIxODZiZjA0MjIwNjBlZjFkMjk4NWYiLCJ1c2VySWQiOiIyOTY3MzMxOSJ9</vt:lpwstr>
  </property>
  <property fmtid="{D5CDD505-2E9C-101B-9397-08002B2CF9AE}" pid="15" name="KSOProductBuildVer">
    <vt:lpwstr>2052-12.1.0.21915</vt:lpwstr>
  </property>
  <property fmtid="{D5CDD505-2E9C-101B-9397-08002B2CF9AE}" pid="16" name="ICV">
    <vt:lpwstr>4E496F9023D24E57BC4DE225DC52631D_13</vt:lpwstr>
  </property>
</Properties>
</file>